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6EC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</w:rPr>
      </w:pPr>
    </w:p>
    <w:p w14:paraId="5D92CDF7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</w:rPr>
      </w:pPr>
    </w:p>
    <w:p w14:paraId="63F45BAA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</w:rPr>
      </w:pPr>
    </w:p>
    <w:p w14:paraId="306D67EB" w14:textId="77777777" w:rsidR="004171F1" w:rsidRPr="006E32C3" w:rsidRDefault="004171F1" w:rsidP="004171F1">
      <w:pPr>
        <w:ind w:left="851" w:right="1132"/>
        <w:jc w:val="left"/>
        <w:rPr>
          <w:rFonts w:ascii="Calibri" w:hAnsi="Calibri" w:cs="Calibri"/>
          <w:sz w:val="48"/>
          <w:szCs w:val="48"/>
        </w:rPr>
      </w:pPr>
    </w:p>
    <w:p w14:paraId="70387012" w14:textId="7A02CCEC" w:rsidR="004171F1" w:rsidRPr="006E32C3" w:rsidRDefault="00761865" w:rsidP="004171F1">
      <w:pPr>
        <w:ind w:left="851" w:right="1132"/>
        <w:jc w:val="left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Expansion</w:t>
      </w:r>
      <w:r w:rsidR="006E32C3">
        <w:rPr>
          <w:rFonts w:ascii="Calibri" w:hAnsi="Calibri" w:cs="Calibri"/>
          <w:sz w:val="48"/>
          <w:szCs w:val="48"/>
        </w:rPr>
        <w:t xml:space="preserve"> of European mobility of apprentice</w:t>
      </w:r>
      <w:r>
        <w:rPr>
          <w:rFonts w:ascii="Calibri" w:hAnsi="Calibri" w:cs="Calibri"/>
          <w:sz w:val="48"/>
          <w:szCs w:val="48"/>
        </w:rPr>
        <w:t>s</w:t>
      </w:r>
    </w:p>
    <w:p w14:paraId="40304A3D" w14:textId="77777777" w:rsidR="004171F1" w:rsidRPr="006E32C3" w:rsidRDefault="004171F1" w:rsidP="004171F1">
      <w:pPr>
        <w:ind w:left="851"/>
        <w:jc w:val="left"/>
        <w:rPr>
          <w:rFonts w:ascii="Calibri" w:hAnsi="Calibri" w:cs="Calibri"/>
          <w:b/>
          <w:sz w:val="48"/>
          <w:szCs w:val="48"/>
        </w:rPr>
      </w:pPr>
      <w:r w:rsidRPr="006E32C3">
        <w:rPr>
          <w:rFonts w:ascii="Open Sans" w:hAnsi="Open Sans" w:cs="Open Sans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6A4D823" wp14:editId="4D61749C">
            <wp:simplePos x="0" y="0"/>
            <wp:positionH relativeFrom="column">
              <wp:posOffset>579755</wp:posOffset>
            </wp:positionH>
            <wp:positionV relativeFrom="paragraph">
              <wp:posOffset>357505</wp:posOffset>
            </wp:positionV>
            <wp:extent cx="873125" cy="121285"/>
            <wp:effectExtent l="0" t="0" r="3175" b="0"/>
            <wp:wrapNone/>
            <wp:docPr id="13" name="Image 13" descr="C:\Users\pierre.maurel\Desktop\Fichi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.maurel\Desktop\Fichie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EEFD" w14:textId="77777777" w:rsidR="004171F1" w:rsidRPr="006E32C3" w:rsidRDefault="004171F1" w:rsidP="004171F1">
      <w:pPr>
        <w:ind w:left="851"/>
        <w:jc w:val="left"/>
        <w:rPr>
          <w:rFonts w:ascii="Calibri" w:hAnsi="Calibri" w:cs="Calibri"/>
          <w:b/>
          <w:sz w:val="48"/>
          <w:szCs w:val="48"/>
        </w:rPr>
      </w:pPr>
    </w:p>
    <w:p w14:paraId="7A8917CE" w14:textId="1F9B46B7" w:rsidR="004171F1" w:rsidRPr="006E32C3" w:rsidRDefault="004171F1" w:rsidP="004171F1">
      <w:pPr>
        <w:ind w:left="851"/>
        <w:jc w:val="left"/>
        <w:rPr>
          <w:rFonts w:asciiTheme="minorHAnsi" w:hAnsiTheme="minorHAnsi" w:cstheme="minorHAnsi"/>
          <w:color w:val="44546A" w:themeColor="text2"/>
          <w:sz w:val="28"/>
          <w:szCs w:val="40"/>
        </w:rPr>
      </w:pPr>
      <w:r w:rsidRPr="006E32C3">
        <w:rPr>
          <w:rFonts w:asciiTheme="minorHAnsi" w:hAnsiTheme="minorHAnsi" w:cstheme="minorHAnsi"/>
          <w:color w:val="44546A" w:themeColor="text2"/>
          <w:sz w:val="28"/>
          <w:szCs w:val="40"/>
        </w:rPr>
        <w:t>R</w:t>
      </w:r>
      <w:r w:rsidR="006E32C3">
        <w:rPr>
          <w:rFonts w:asciiTheme="minorHAnsi" w:hAnsiTheme="minorHAnsi" w:cstheme="minorHAnsi"/>
          <w:color w:val="44546A" w:themeColor="text2"/>
          <w:sz w:val="28"/>
          <w:szCs w:val="40"/>
        </w:rPr>
        <w:t>e</w:t>
      </w:r>
      <w:r w:rsidRPr="006E32C3">
        <w:rPr>
          <w:rFonts w:asciiTheme="minorHAnsi" w:hAnsiTheme="minorHAnsi" w:cstheme="minorHAnsi"/>
          <w:color w:val="44546A" w:themeColor="text2"/>
          <w:sz w:val="28"/>
          <w:szCs w:val="40"/>
        </w:rPr>
        <w:t>port</w:t>
      </w:r>
    </w:p>
    <w:p w14:paraId="78632701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0EDC443B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33325072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2C44E40E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p w14:paraId="69EDC13A" w14:textId="77777777" w:rsidR="004171F1" w:rsidRPr="006E32C3" w:rsidRDefault="004171F1" w:rsidP="004171F1">
      <w:pPr>
        <w:ind w:left="851"/>
        <w:rPr>
          <w:rFonts w:ascii="Calibri" w:hAnsi="Calibri" w:cs="Calibri"/>
          <w:sz w:val="48"/>
          <w:szCs w:val="48"/>
          <w:lang w:eastAsia="fr-F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0"/>
      </w:tblGrid>
      <w:tr w:rsidR="004171F1" w:rsidRPr="006E32C3" w14:paraId="0DAD4BC5" w14:textId="77777777" w:rsidTr="00910BDB">
        <w:trPr>
          <w:trHeight w:val="510"/>
          <w:jc w:val="center"/>
        </w:trPr>
        <w:tc>
          <w:tcPr>
            <w:tcW w:w="7200" w:type="dxa"/>
            <w:shd w:val="clear" w:color="auto" w:fill="auto"/>
            <w:vAlign w:val="center"/>
          </w:tcPr>
          <w:p w14:paraId="611ACD99" w14:textId="77777777" w:rsidR="004171F1" w:rsidRPr="006E32C3" w:rsidRDefault="004171F1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32C3">
              <w:rPr>
                <w:rFonts w:asciiTheme="minorHAnsi" w:hAnsiTheme="minorHAnsi" w:cstheme="minorHAnsi"/>
                <w:b/>
                <w:szCs w:val="24"/>
              </w:rPr>
              <w:t>Mikael HAUTCHAMP</w:t>
            </w:r>
          </w:p>
          <w:p w14:paraId="5C4E4644" w14:textId="0EC51AF2" w:rsidR="004171F1" w:rsidRPr="006E32C3" w:rsidRDefault="004171F1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32C3">
              <w:rPr>
                <w:rFonts w:asciiTheme="minorHAnsi" w:hAnsiTheme="minorHAnsi" w:cstheme="minorHAnsi"/>
                <w:b/>
                <w:szCs w:val="24"/>
              </w:rPr>
              <w:t>Memb</w:t>
            </w:r>
            <w:r w:rsidR="006E32C3">
              <w:rPr>
                <w:rFonts w:asciiTheme="minorHAnsi" w:hAnsiTheme="minorHAnsi" w:cstheme="minorHAnsi"/>
                <w:b/>
                <w:szCs w:val="24"/>
              </w:rPr>
              <w:t>er</w:t>
            </w:r>
            <w:r w:rsidRPr="006E32C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E32C3">
              <w:rPr>
                <w:rFonts w:asciiTheme="minorHAnsi" w:hAnsiTheme="minorHAnsi" w:cstheme="minorHAnsi"/>
                <w:b/>
                <w:szCs w:val="24"/>
              </w:rPr>
              <w:t>of the General Inspectorate of Social Affairs</w:t>
            </w:r>
          </w:p>
          <w:p w14:paraId="41EA76D2" w14:textId="77777777" w:rsidR="004171F1" w:rsidRPr="006E32C3" w:rsidRDefault="004171F1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ADD2124" w14:textId="2AF3E727" w:rsidR="004171F1" w:rsidRPr="006E32C3" w:rsidRDefault="006E32C3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With the</w:t>
            </w:r>
            <w:r w:rsidR="004171F1" w:rsidRPr="006E32C3">
              <w:rPr>
                <w:rFonts w:asciiTheme="minorHAnsi" w:hAnsiTheme="minorHAnsi" w:cstheme="minorHAnsi"/>
                <w:b/>
                <w:szCs w:val="24"/>
              </w:rPr>
              <w:t xml:space="preserve"> contribution </w:t>
            </w:r>
            <w:r>
              <w:rPr>
                <w:rFonts w:asciiTheme="minorHAnsi" w:hAnsiTheme="minorHAnsi" w:cstheme="minorHAnsi"/>
                <w:b/>
                <w:szCs w:val="24"/>
              </w:rPr>
              <w:t>of</w:t>
            </w:r>
            <w:r w:rsidR="004171F1" w:rsidRPr="006E32C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04D4D86" w14:textId="77777777" w:rsidR="004171F1" w:rsidRPr="006E32C3" w:rsidRDefault="004171F1" w:rsidP="00910B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32C3">
              <w:rPr>
                <w:rFonts w:asciiTheme="minorHAnsi" w:hAnsiTheme="minorHAnsi" w:cstheme="minorHAnsi"/>
                <w:b/>
                <w:szCs w:val="24"/>
              </w:rPr>
              <w:t xml:space="preserve">Cécile COURREGES </w:t>
            </w:r>
          </w:p>
          <w:p w14:paraId="60A3F9A6" w14:textId="6292D32E" w:rsidR="004171F1" w:rsidRPr="006E32C3" w:rsidRDefault="006E32C3" w:rsidP="006E32C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32C3">
              <w:rPr>
                <w:rFonts w:asciiTheme="minorHAnsi" w:hAnsiTheme="minorHAnsi" w:cstheme="minorHAnsi"/>
                <w:b/>
                <w:szCs w:val="24"/>
              </w:rPr>
              <w:t>Memb</w:t>
            </w:r>
            <w:r>
              <w:rPr>
                <w:rFonts w:asciiTheme="minorHAnsi" w:hAnsiTheme="minorHAnsi" w:cstheme="minorHAnsi"/>
                <w:b/>
                <w:szCs w:val="24"/>
              </w:rPr>
              <w:t>er</w:t>
            </w:r>
            <w:r w:rsidRPr="006E32C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of the General Inspectorate of Social Affairs</w:t>
            </w:r>
            <w:r w:rsidRPr="006E32C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4C407EB6" w14:textId="77777777" w:rsidR="004171F1" w:rsidRPr="006E32C3" w:rsidRDefault="004171F1" w:rsidP="004171F1">
      <w:pPr>
        <w:spacing w:before="0" w:after="0"/>
        <w:jc w:val="center"/>
        <w:rPr>
          <w:rFonts w:asciiTheme="minorHAnsi" w:hAnsiTheme="minorHAnsi" w:cstheme="minorHAnsi"/>
          <w:sz w:val="48"/>
          <w:szCs w:val="4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171F1" w:rsidRPr="006E32C3" w14:paraId="6AC2BCC7" w14:textId="77777777" w:rsidTr="00910BDB">
        <w:trPr>
          <w:jc w:val="center"/>
        </w:trPr>
        <w:tc>
          <w:tcPr>
            <w:tcW w:w="1701" w:type="dxa"/>
          </w:tcPr>
          <w:p w14:paraId="6149E428" w14:textId="77777777" w:rsidR="004171F1" w:rsidRPr="006E32C3" w:rsidRDefault="004171F1" w:rsidP="00910B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32C3">
              <w:rPr>
                <w:rFonts w:ascii="Calibri" w:hAnsi="Calibri" w:cs="Calibri"/>
                <w:sz w:val="20"/>
                <w:szCs w:val="20"/>
              </w:rPr>
              <w:t>2022-042R</w:t>
            </w:r>
          </w:p>
        </w:tc>
      </w:tr>
      <w:tr w:rsidR="004171F1" w:rsidRPr="006E32C3" w14:paraId="2E0D9C85" w14:textId="77777777" w:rsidTr="00910BDB">
        <w:trPr>
          <w:jc w:val="center"/>
        </w:trPr>
        <w:tc>
          <w:tcPr>
            <w:tcW w:w="1701" w:type="dxa"/>
          </w:tcPr>
          <w:p w14:paraId="4BD10DDC" w14:textId="5A944FCE" w:rsidR="004171F1" w:rsidRPr="006E32C3" w:rsidRDefault="006E32C3" w:rsidP="00910B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32C3">
              <w:rPr>
                <w:rFonts w:ascii="Calibri" w:hAnsi="Calibri" w:cs="Calibri"/>
                <w:sz w:val="20"/>
                <w:szCs w:val="20"/>
              </w:rPr>
              <w:t>December</w:t>
            </w:r>
            <w:r w:rsidR="004171F1" w:rsidRPr="006E32C3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tc>
      </w:tr>
    </w:tbl>
    <w:p w14:paraId="6B957F10" w14:textId="77777777" w:rsidR="004171F1" w:rsidRPr="006E32C3" w:rsidRDefault="004171F1" w:rsidP="004171F1">
      <w:pPr>
        <w:jc w:val="left"/>
        <w:rPr>
          <w:rFonts w:ascii="Open Sans" w:hAnsi="Open Sans" w:cs="Open Sans"/>
          <w:b/>
        </w:rPr>
        <w:sectPr w:rsidR="004171F1" w:rsidRPr="006E32C3" w:rsidSect="00650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18" w:right="1134" w:bottom="567" w:left="1418" w:header="720" w:footer="720" w:gutter="0"/>
          <w:cols w:space="720"/>
          <w:titlePg/>
          <w:docGrid w:linePitch="299"/>
        </w:sectPr>
      </w:pPr>
    </w:p>
    <w:p w14:paraId="301BC98B" w14:textId="43258EAD" w:rsidR="004171F1" w:rsidRPr="006E32C3" w:rsidRDefault="006E32C3" w:rsidP="004171F1">
      <w:pPr>
        <w:pStyle w:val="Titre"/>
        <w:rPr>
          <w:lang w:val="en-GB"/>
        </w:rPr>
      </w:pPr>
      <w:r>
        <w:rPr>
          <w:lang w:val="en-GB"/>
        </w:rPr>
        <w:lastRenderedPageBreak/>
        <w:t>SUMMARY</w:t>
      </w:r>
    </w:p>
    <w:p w14:paraId="350F9C7C" w14:textId="3046C820" w:rsidR="004171F1" w:rsidRPr="006E32C3" w:rsidRDefault="006E32C3" w:rsidP="004171F1">
      <w:r>
        <w:t xml:space="preserve">Through letter of </w:t>
      </w:r>
      <w:r w:rsidR="00761865">
        <w:t>engagement</w:t>
      </w:r>
      <w:r>
        <w:t xml:space="preserve"> of 27 April 2022, the </w:t>
      </w:r>
      <w:r w:rsidR="00761865">
        <w:t>IGAS</w:t>
      </w:r>
      <w:r>
        <w:t xml:space="preserve"> was tasked </w:t>
      </w:r>
      <w:r w:rsidR="00761865">
        <w:t>by</w:t>
      </w:r>
      <w:r>
        <w:t xml:space="preserve"> the Minister of Work, Employment and Insertion with a</w:t>
      </w:r>
      <w:r w:rsidR="00443B48">
        <w:t>n evaluation</w:t>
      </w:r>
      <w:r>
        <w:t xml:space="preserve"> mission </w:t>
      </w:r>
      <w:r w:rsidR="00443B48">
        <w:t>relating to</w:t>
      </w:r>
      <w:r>
        <w:t xml:space="preserve"> the </w:t>
      </w:r>
      <w:r w:rsidR="00761865">
        <w:t>expansion</w:t>
      </w:r>
      <w:r>
        <w:t xml:space="preserve"> of European mobility of apprentices in Europe. </w:t>
      </w:r>
      <w:r w:rsidR="00761865">
        <w:t>Relating to</w:t>
      </w:r>
      <w:r>
        <w:t xml:space="preserve"> a subject covered in recent reports (</w:t>
      </w:r>
      <w:r w:rsidR="00761865">
        <w:t>IGAS</w:t>
      </w:r>
      <w:r w:rsidR="004171F1" w:rsidRPr="006E32C3">
        <w:rPr>
          <w:vertAlign w:val="superscript"/>
        </w:rPr>
        <w:footnoteReference w:id="1"/>
      </w:r>
      <w:r w:rsidR="004171F1" w:rsidRPr="006E32C3">
        <w:t xml:space="preserve"> GAUZERE </w:t>
      </w:r>
      <w:r>
        <w:t>and</w:t>
      </w:r>
      <w:r w:rsidR="004171F1" w:rsidRPr="006E32C3">
        <w:t xml:space="preserve"> BOREL </w:t>
      </w:r>
      <w:r>
        <w:t xml:space="preserve">report </w:t>
      </w:r>
      <w:r w:rsidR="004171F1" w:rsidRPr="006E32C3">
        <w:t xml:space="preserve">2017, </w:t>
      </w:r>
      <w:r>
        <w:t>J</w:t>
      </w:r>
      <w:r w:rsidR="004171F1" w:rsidRPr="006E32C3">
        <w:t xml:space="preserve">ean ARTHUIS </w:t>
      </w:r>
      <w:r>
        <w:t>report January</w:t>
      </w:r>
      <w:r w:rsidR="004171F1" w:rsidRPr="006E32C3">
        <w:t xml:space="preserve"> 2018</w:t>
      </w:r>
      <w:r w:rsidR="004171F1" w:rsidRPr="006E32C3">
        <w:rPr>
          <w:vertAlign w:val="superscript"/>
        </w:rPr>
        <w:footnoteReference w:id="2"/>
      </w:r>
      <w:r w:rsidR="004171F1" w:rsidRPr="006E32C3">
        <w:t xml:space="preserve">) </w:t>
      </w:r>
      <w:r>
        <w:t xml:space="preserve">and which widely reaches a consensus over the aims sought and their benefits, this </w:t>
      </w:r>
      <w:r w:rsidR="00761865">
        <w:t>was</w:t>
      </w:r>
      <w:r>
        <w:t xml:space="preserve"> mainly a matter of drawing up findings on the </w:t>
      </w:r>
      <w:r w:rsidR="00761865">
        <w:t>obstacles</w:t>
      </w:r>
      <w:r>
        <w:t xml:space="preserve"> to the </w:t>
      </w:r>
      <w:r w:rsidR="00761865">
        <w:t>expansion</w:t>
      </w:r>
      <w:r>
        <w:t xml:space="preserve"> of </w:t>
      </w:r>
      <w:r w:rsidR="00761865">
        <w:t>such</w:t>
      </w:r>
      <w:r>
        <w:t xml:space="preserve"> European mobility and making proposals </w:t>
      </w:r>
      <w:r w:rsidR="00761865">
        <w:t>that could</w:t>
      </w:r>
      <w:r>
        <w:t xml:space="preserve"> significantly increase the volumes of apprentices </w:t>
      </w:r>
      <w:r w:rsidR="00761865">
        <w:t>embarking</w:t>
      </w:r>
      <w:r>
        <w:t xml:space="preserve"> </w:t>
      </w:r>
      <w:r w:rsidR="00761865">
        <w:t>on</w:t>
      </w:r>
      <w:r>
        <w:t xml:space="preserve"> European mobility</w:t>
      </w:r>
      <w:r w:rsidR="00761865">
        <w:t xml:space="preserve"> assignments</w:t>
      </w:r>
      <w:r w:rsidR="004171F1" w:rsidRPr="006E32C3">
        <w:t xml:space="preserve">. </w:t>
      </w:r>
    </w:p>
    <w:p w14:paraId="32F3035C" w14:textId="77C78AD8" w:rsidR="004171F1" w:rsidRPr="006E32C3" w:rsidRDefault="006E32C3" w:rsidP="004171F1">
      <w:r>
        <w:t xml:space="preserve">The mission is taking place in a context where the number of apprentices </w:t>
      </w:r>
      <w:r w:rsidR="00761865">
        <w:t>on mobility assignments</w:t>
      </w:r>
      <w:r>
        <w:t xml:space="preserve"> remains </w:t>
      </w:r>
      <w:r w:rsidR="00761865">
        <w:t>modest</w:t>
      </w:r>
      <w:r>
        <w:t xml:space="preserve"> while the total number of apprentices has </w:t>
      </w:r>
      <w:r w:rsidR="00761865">
        <w:t xml:space="preserve">increased </w:t>
      </w:r>
      <w:r>
        <w:t xml:space="preserve">spectacularly following the reform of apprenticeships arising out of the Law of 5 September 2018 on the freedom to choose your professional future (cf. 2.1). This law </w:t>
      </w:r>
      <w:r w:rsidR="00C7268A">
        <w:t>completely upended</w:t>
      </w:r>
      <w:r>
        <w:t xml:space="preserve"> the funding system and the responsibilities of the professional training stakeholders. It made access to the </w:t>
      </w:r>
      <w:r w:rsidR="00C7268A">
        <w:t>demand for learning</w:t>
      </w:r>
      <w:r>
        <w:t xml:space="preserve"> </w:t>
      </w:r>
      <w:r w:rsidR="00C7268A">
        <w:t xml:space="preserve">easier </w:t>
      </w:r>
      <w:r>
        <w:t>and</w:t>
      </w:r>
      <w:r w:rsidR="00C7268A">
        <w:t xml:space="preserve"> liberalised</w:t>
      </w:r>
      <w:r>
        <w:t xml:space="preserve"> the training offering. It developed incentives for employers </w:t>
      </w:r>
      <w:r w:rsidR="0073744D">
        <w:t>in particular</w:t>
      </w:r>
      <w:r>
        <w:t xml:space="preserve"> through the </w:t>
      </w:r>
      <w:r w:rsidR="00C7268A">
        <w:t>one-off grant upon</w:t>
      </w:r>
      <w:r>
        <w:t xml:space="preserve"> employment of apprentices coupled with an exceptional </w:t>
      </w:r>
      <w:r w:rsidR="00C7268A">
        <w:t>grant</w:t>
      </w:r>
      <w:r>
        <w:t xml:space="preserve"> upon employment of apprentices, which was greatly strengthened within the framework of the support </w:t>
      </w:r>
      <w:r w:rsidR="00C7268A">
        <w:t>for</w:t>
      </w:r>
      <w:r>
        <w:t xml:space="preserve"> the consequences of the </w:t>
      </w:r>
      <w:r w:rsidR="0019324B">
        <w:t>COVID crisis</w:t>
      </w:r>
      <w:r>
        <w:t xml:space="preserve">, then the </w:t>
      </w:r>
      <w:r w:rsidR="00C7268A">
        <w:t>recovery</w:t>
      </w:r>
      <w:r>
        <w:t xml:space="preserve"> plan, </w:t>
      </w:r>
      <w:r w:rsidR="0073744D">
        <w:t>in particular</w:t>
      </w:r>
      <w:r>
        <w:t xml:space="preserve"> its “one young person, one solution” measure</w:t>
      </w:r>
      <w:r w:rsidR="004171F1" w:rsidRPr="006E32C3">
        <w:t xml:space="preserve">. </w:t>
      </w:r>
      <w:r w:rsidR="001A1183">
        <w:t xml:space="preserve"> </w:t>
      </w:r>
    </w:p>
    <w:p w14:paraId="2FD4B0BF" w14:textId="578E4D38" w:rsidR="004171F1" w:rsidRPr="006E32C3" w:rsidRDefault="00C7268A" w:rsidP="004171F1">
      <w:r>
        <w:t>After</w:t>
      </w:r>
      <w:r w:rsidR="006E32C3">
        <w:t xml:space="preserve"> 5 trips to the regions and 3 trips to European countries, interviewing almost 300 people including apprentices </w:t>
      </w:r>
      <w:r>
        <w:t>from</w:t>
      </w:r>
      <w:r w:rsidR="006E32C3">
        <w:t xml:space="preserve"> very different sectors, and a review of the studies on the subject, the following major points emerged:</w:t>
      </w:r>
      <w:r w:rsidR="004171F1" w:rsidRPr="006E32C3">
        <w:t xml:space="preserve">  </w:t>
      </w:r>
    </w:p>
    <w:p w14:paraId="0D8D5E71" w14:textId="4FA3A940" w:rsidR="004171F1" w:rsidRPr="006E32C3" w:rsidRDefault="00132DF8" w:rsidP="004171F1">
      <w:pPr>
        <w:pStyle w:val="xx-puce2"/>
        <w:rPr>
          <w:lang w:val="en-GB"/>
        </w:rPr>
      </w:pPr>
      <w:r>
        <w:rPr>
          <w:lang w:val="en-GB"/>
        </w:rPr>
        <w:t xml:space="preserve">European mobility of apprentices is marginal at this stage compared </w:t>
      </w:r>
      <w:r w:rsidR="00C7268A">
        <w:rPr>
          <w:lang w:val="en-GB"/>
        </w:rPr>
        <w:t>to</w:t>
      </w:r>
      <w:r>
        <w:rPr>
          <w:lang w:val="en-GB"/>
        </w:rPr>
        <w:t xml:space="preserve"> the </w:t>
      </w:r>
      <w:r w:rsidR="00F41AA2">
        <w:rPr>
          <w:lang w:val="en-GB"/>
        </w:rPr>
        <w:t>stated</w:t>
      </w:r>
      <w:r>
        <w:rPr>
          <w:lang w:val="en-GB"/>
        </w:rPr>
        <w:t xml:space="preserve"> ambitions, compared to other learners (professional train</w:t>
      </w:r>
      <w:r w:rsidR="00C7268A">
        <w:rPr>
          <w:lang w:val="en-GB"/>
        </w:rPr>
        <w:t>ees</w:t>
      </w:r>
      <w:r>
        <w:rPr>
          <w:lang w:val="en-GB"/>
        </w:rPr>
        <w:t xml:space="preserve"> under school status and students), compared to that of some of our European partners</w:t>
      </w:r>
      <w:r w:rsidR="00C7268A">
        <w:rPr>
          <w:lang w:val="en-GB"/>
        </w:rPr>
        <w:t>. It is</w:t>
      </w:r>
      <w:r>
        <w:rPr>
          <w:lang w:val="en-GB"/>
        </w:rPr>
        <w:t xml:space="preserve"> rolling out over very short periods and requir</w:t>
      </w:r>
      <w:r w:rsidR="008A57E4">
        <w:rPr>
          <w:lang w:val="en-GB"/>
        </w:rPr>
        <w:t>es</w:t>
      </w:r>
      <w:r>
        <w:rPr>
          <w:lang w:val="en-GB"/>
        </w:rPr>
        <w:t xml:space="preserve"> </w:t>
      </w:r>
      <w:r w:rsidR="00C7268A">
        <w:rPr>
          <w:lang w:val="en-GB"/>
        </w:rPr>
        <w:t>the</w:t>
      </w:r>
      <w:r>
        <w:rPr>
          <w:lang w:val="en-GB"/>
        </w:rPr>
        <w:t xml:space="preserve"> stakeholders (apprentice training centres, businesses, </w:t>
      </w:r>
      <w:r w:rsidR="008A57E4">
        <w:rPr>
          <w:lang w:val="en-GB"/>
        </w:rPr>
        <w:t xml:space="preserve">the </w:t>
      </w:r>
      <w:r>
        <w:rPr>
          <w:lang w:val="en-GB"/>
        </w:rPr>
        <w:t xml:space="preserve">apprentices themselves and their families) to navigate within an environment fraught with pitfalls. The number of apprentices </w:t>
      </w:r>
      <w:r w:rsidR="008A57E4">
        <w:rPr>
          <w:lang w:val="en-GB"/>
        </w:rPr>
        <w:t>embarking</w:t>
      </w:r>
      <w:r>
        <w:rPr>
          <w:lang w:val="en-GB"/>
        </w:rPr>
        <w:t xml:space="preserve"> </w:t>
      </w:r>
      <w:r w:rsidR="00761865">
        <w:rPr>
          <w:lang w:val="en-GB"/>
        </w:rPr>
        <w:t>on mobility assignments</w:t>
      </w:r>
      <w:r>
        <w:rPr>
          <w:lang w:val="en-GB"/>
        </w:rPr>
        <w:t xml:space="preserve"> in 2018-2019 was 7,820, which, in relation to the </w:t>
      </w:r>
      <w:r w:rsidR="008A57E4">
        <w:rPr>
          <w:lang w:val="en-GB"/>
        </w:rPr>
        <w:t xml:space="preserve">368,968 </w:t>
      </w:r>
      <w:r>
        <w:rPr>
          <w:lang w:val="en-GB"/>
        </w:rPr>
        <w:t>new arrivals in 2019, gives a</w:t>
      </w:r>
      <w:r w:rsidR="008A57E4">
        <w:rPr>
          <w:lang w:val="en-GB"/>
        </w:rPr>
        <w:t>n apprentice</w:t>
      </w:r>
      <w:r>
        <w:rPr>
          <w:lang w:val="en-GB"/>
        </w:rPr>
        <w:t xml:space="preserve"> mobility rate of 2.1%</w:t>
      </w:r>
      <w:r w:rsidR="004171F1" w:rsidRPr="006E32C3">
        <w:rPr>
          <w:lang w:val="en-GB"/>
        </w:rPr>
        <w:t xml:space="preserve">.  </w:t>
      </w:r>
    </w:p>
    <w:p w14:paraId="036CBA5E" w14:textId="780C55AD" w:rsidR="004171F1" w:rsidRPr="006E32C3" w:rsidRDefault="008A57E4" w:rsidP="004171F1">
      <w:pPr>
        <w:pStyle w:val="xx-puce2"/>
        <w:rPr>
          <w:lang w:val="en-GB"/>
        </w:rPr>
      </w:pPr>
      <w:r>
        <w:rPr>
          <w:lang w:val="en-GB"/>
        </w:rPr>
        <w:t>Paradoxically, t</w:t>
      </w:r>
      <w:r w:rsidR="00132DF8">
        <w:rPr>
          <w:lang w:val="en-GB"/>
        </w:rPr>
        <w:t xml:space="preserve">he legal and financial ecosystem arising out of the Law of 2 September 2018 </w:t>
      </w:r>
      <w:r>
        <w:rPr>
          <w:lang w:val="en-GB"/>
        </w:rPr>
        <w:t xml:space="preserve">somewhat </w:t>
      </w:r>
      <w:r w:rsidR="00132DF8">
        <w:rPr>
          <w:lang w:val="en-GB"/>
        </w:rPr>
        <w:t xml:space="preserve">contributed to increasing the difficulties rather than easing them, and broke a </w:t>
      </w:r>
      <w:r>
        <w:rPr>
          <w:lang w:val="en-GB"/>
        </w:rPr>
        <w:t>trend of rising</w:t>
      </w:r>
      <w:r w:rsidR="00761865">
        <w:rPr>
          <w:lang w:val="en-GB"/>
        </w:rPr>
        <w:t xml:space="preserve"> mobility assignments</w:t>
      </w:r>
      <w:r w:rsidR="00132DF8">
        <w:rPr>
          <w:lang w:val="en-GB"/>
        </w:rPr>
        <w:t xml:space="preserve"> that the </w:t>
      </w:r>
      <w:r w:rsidR="006D2729">
        <w:rPr>
          <w:lang w:val="en-GB"/>
        </w:rPr>
        <w:t xml:space="preserve">COVID </w:t>
      </w:r>
      <w:r w:rsidR="00132DF8">
        <w:rPr>
          <w:lang w:val="en-GB"/>
        </w:rPr>
        <w:t>epidemic definitively froze for two years</w:t>
      </w:r>
      <w:r w:rsidR="004171F1" w:rsidRPr="006E32C3">
        <w:rPr>
          <w:lang w:val="en-GB"/>
        </w:rPr>
        <w:t xml:space="preserve">. </w:t>
      </w:r>
    </w:p>
    <w:p w14:paraId="7D366D27" w14:textId="7993B1ED" w:rsidR="004171F1" w:rsidRPr="006E32C3" w:rsidRDefault="00132DF8" w:rsidP="004171F1">
      <w:pPr>
        <w:pStyle w:val="xx-puce2"/>
        <w:rPr>
          <w:lang w:val="en-GB"/>
        </w:rPr>
      </w:pPr>
      <w:r>
        <w:rPr>
          <w:lang w:val="en-GB"/>
        </w:rPr>
        <w:lastRenderedPageBreak/>
        <w:t xml:space="preserve">There </w:t>
      </w:r>
      <w:r w:rsidR="008A57E4">
        <w:rPr>
          <w:lang w:val="en-GB"/>
        </w:rPr>
        <w:t>is a strong demand from</w:t>
      </w:r>
      <w:r>
        <w:rPr>
          <w:lang w:val="en-GB"/>
        </w:rPr>
        <w:t xml:space="preserve"> training centres, schools, businesses</w:t>
      </w:r>
      <w:r w:rsidR="008A57E4">
        <w:rPr>
          <w:lang w:val="en-GB"/>
        </w:rPr>
        <w:t xml:space="preserve"> and</w:t>
      </w:r>
      <w:r>
        <w:rPr>
          <w:lang w:val="en-GB"/>
        </w:rPr>
        <w:t xml:space="preserve"> branches for a reform of the system towards more support and simplicity in order to </w:t>
      </w:r>
      <w:r w:rsidR="008A57E4">
        <w:rPr>
          <w:lang w:val="en-GB"/>
        </w:rPr>
        <w:t xml:space="preserve">jointly </w:t>
      </w:r>
      <w:r>
        <w:rPr>
          <w:lang w:val="en-GB"/>
        </w:rPr>
        <w:t xml:space="preserve">develop a mobility </w:t>
      </w:r>
      <w:r w:rsidR="008A57E4">
        <w:rPr>
          <w:lang w:val="en-GB"/>
        </w:rPr>
        <w:t xml:space="preserve">scheme </w:t>
      </w:r>
      <w:r w:rsidR="00443B48">
        <w:rPr>
          <w:lang w:val="en-GB"/>
        </w:rPr>
        <w:t xml:space="preserve">that is </w:t>
      </w:r>
      <w:r w:rsidR="008A57E4">
        <w:rPr>
          <w:lang w:val="en-GB"/>
        </w:rPr>
        <w:t>popular with</w:t>
      </w:r>
      <w:r>
        <w:rPr>
          <w:lang w:val="en-GB"/>
        </w:rPr>
        <w:t xml:space="preserve"> young people, training officers and </w:t>
      </w:r>
      <w:r w:rsidR="008A57E4">
        <w:rPr>
          <w:lang w:val="en-GB"/>
        </w:rPr>
        <w:t>apprenticeship</w:t>
      </w:r>
      <w:r>
        <w:rPr>
          <w:lang w:val="en-GB"/>
        </w:rPr>
        <w:t xml:space="preserve"> masters when it took place. A 2018 </w:t>
      </w:r>
      <w:r w:rsidR="008A57E4">
        <w:rPr>
          <w:lang w:val="en-GB"/>
        </w:rPr>
        <w:t xml:space="preserve">study </w:t>
      </w:r>
      <w:r>
        <w:rPr>
          <w:lang w:val="en-GB"/>
        </w:rPr>
        <w:t>conducted at European level</w:t>
      </w:r>
      <w:r w:rsidR="004171F1" w:rsidRPr="006E32C3">
        <w:rPr>
          <w:rStyle w:val="Appelnotedebasdep"/>
          <w:lang w:val="en-GB"/>
        </w:rPr>
        <w:footnoteReference w:id="3"/>
      </w:r>
      <w:r w:rsidR="004171F1" w:rsidRPr="006E32C3">
        <w:rPr>
          <w:lang w:val="en-GB"/>
        </w:rPr>
        <w:t xml:space="preserve"> </w:t>
      </w:r>
      <w:r>
        <w:rPr>
          <w:lang w:val="en-GB"/>
        </w:rPr>
        <w:t xml:space="preserve">among 8,000 young people aged 15 to 30 </w:t>
      </w:r>
      <w:r w:rsidR="0073744D">
        <w:rPr>
          <w:lang w:val="en-GB"/>
        </w:rPr>
        <w:t>in particular</w:t>
      </w:r>
      <w:r>
        <w:rPr>
          <w:lang w:val="en-GB"/>
        </w:rPr>
        <w:t xml:space="preserve"> shows that 90% of people questioned consider that it is important to have the </w:t>
      </w:r>
      <w:r w:rsidR="008A57E4">
        <w:rPr>
          <w:lang w:val="en-GB"/>
        </w:rPr>
        <w:t>option</w:t>
      </w:r>
      <w:r>
        <w:rPr>
          <w:lang w:val="en-GB"/>
        </w:rPr>
        <w:t xml:space="preserve"> of taking a mobility </w:t>
      </w:r>
      <w:r w:rsidR="008A57E4">
        <w:rPr>
          <w:lang w:val="en-GB"/>
        </w:rPr>
        <w:t>assignment</w:t>
      </w:r>
      <w:r>
        <w:rPr>
          <w:lang w:val="en-GB"/>
        </w:rPr>
        <w:t xml:space="preserve"> </w:t>
      </w:r>
      <w:r w:rsidR="008A57E4">
        <w:rPr>
          <w:lang w:val="en-GB"/>
        </w:rPr>
        <w:t>during</w:t>
      </w:r>
      <w:r>
        <w:rPr>
          <w:lang w:val="en-GB"/>
        </w:rPr>
        <w:t xml:space="preserve"> their studies</w:t>
      </w:r>
      <w:r w:rsidR="004171F1" w:rsidRPr="006E32C3">
        <w:rPr>
          <w:lang w:val="en-GB"/>
        </w:rPr>
        <w:t>.</w:t>
      </w:r>
      <w:r w:rsidR="004171F1" w:rsidRPr="006E32C3">
        <w:rPr>
          <w:rStyle w:val="Appelnotedebasdep"/>
          <w:lang w:val="en-GB"/>
        </w:rPr>
        <w:footnoteReference w:id="4"/>
      </w:r>
    </w:p>
    <w:p w14:paraId="2C067C89" w14:textId="08EF2BFE" w:rsidR="004171F1" w:rsidRPr="006E32C3" w:rsidRDefault="00132DF8" w:rsidP="004171F1">
      <w:pPr>
        <w:pStyle w:val="xx-puce2"/>
        <w:rPr>
          <w:lang w:val="en-GB"/>
        </w:rPr>
      </w:pPr>
      <w:r>
        <w:rPr>
          <w:lang w:val="en-GB"/>
        </w:rPr>
        <w:t xml:space="preserve">The current context is very favourable </w:t>
      </w:r>
      <w:r w:rsidR="008A57E4">
        <w:rPr>
          <w:lang w:val="en-GB"/>
        </w:rPr>
        <w:t xml:space="preserve">to this, </w:t>
      </w:r>
      <w:r>
        <w:rPr>
          <w:lang w:val="en-GB"/>
        </w:rPr>
        <w:t xml:space="preserve">with </w:t>
      </w:r>
      <w:r w:rsidR="008A57E4">
        <w:rPr>
          <w:lang w:val="en-GB"/>
        </w:rPr>
        <w:t>an</w:t>
      </w:r>
      <w:r>
        <w:rPr>
          <w:lang w:val="en-GB"/>
        </w:rPr>
        <w:t xml:space="preserve"> emergence from </w:t>
      </w:r>
      <w:r w:rsidR="009B5D6A">
        <w:rPr>
          <w:lang w:val="en-GB"/>
        </w:rPr>
        <w:t xml:space="preserve">COVID </w:t>
      </w:r>
      <w:r>
        <w:rPr>
          <w:lang w:val="en-GB"/>
        </w:rPr>
        <w:t xml:space="preserve">where travel plans are resuming, where the stakeholders of the 2018 reform </w:t>
      </w:r>
      <w:r w:rsidR="001A2D63">
        <w:rPr>
          <w:lang w:val="en-GB"/>
        </w:rPr>
        <w:t>have increased powers</w:t>
      </w:r>
      <w:r>
        <w:rPr>
          <w:lang w:val="en-GB"/>
        </w:rPr>
        <w:t xml:space="preserve">, where </w:t>
      </w:r>
      <w:r w:rsidR="008A57E4">
        <w:rPr>
          <w:lang w:val="en-GB"/>
        </w:rPr>
        <w:t>apprenticeships</w:t>
      </w:r>
      <w:r>
        <w:rPr>
          <w:lang w:val="en-GB"/>
        </w:rPr>
        <w:t xml:space="preserve">, the image of which is changing radically, </w:t>
      </w:r>
      <w:r w:rsidR="008A57E4">
        <w:rPr>
          <w:lang w:val="en-GB"/>
        </w:rPr>
        <w:t>are</w:t>
      </w:r>
      <w:r>
        <w:rPr>
          <w:lang w:val="en-GB"/>
        </w:rPr>
        <w:t xml:space="preserve"> taking a major place in our educational system, and where the recruitment </w:t>
      </w:r>
      <w:r w:rsidR="008234BC">
        <w:rPr>
          <w:lang w:val="en-GB"/>
        </w:rPr>
        <w:t>pressures</w:t>
      </w:r>
      <w:r>
        <w:rPr>
          <w:lang w:val="en-GB"/>
        </w:rPr>
        <w:t xml:space="preserve"> in businesses </w:t>
      </w:r>
      <w:r w:rsidR="008234BC">
        <w:rPr>
          <w:lang w:val="en-GB"/>
        </w:rPr>
        <w:t>are leading to the need for</w:t>
      </w:r>
      <w:r>
        <w:rPr>
          <w:lang w:val="en-GB"/>
        </w:rPr>
        <w:t xml:space="preserve"> reinforced attractiveness of training in certain sectors</w:t>
      </w:r>
      <w:r w:rsidR="004171F1" w:rsidRPr="006E32C3">
        <w:rPr>
          <w:lang w:val="en-GB"/>
        </w:rPr>
        <w:t xml:space="preserve">. </w:t>
      </w:r>
    </w:p>
    <w:p w14:paraId="0FE467EB" w14:textId="59B3B630" w:rsidR="004171F1" w:rsidRPr="006E32C3" w:rsidRDefault="00132DF8" w:rsidP="004171F1">
      <w:r>
        <w:t>The</w:t>
      </w:r>
      <w:r w:rsidR="008234BC">
        <w:t>re are currently many obstacles</w:t>
      </w:r>
      <w:r>
        <w:t xml:space="preserve"> encounter</w:t>
      </w:r>
      <w:r w:rsidR="008234BC">
        <w:t>ed by</w:t>
      </w:r>
      <w:r>
        <w:t xml:space="preserve"> apprentice mobility projects, </w:t>
      </w:r>
      <w:r w:rsidR="008234BC">
        <w:t>particularly</w:t>
      </w:r>
      <w:r>
        <w:t xml:space="preserve"> </w:t>
      </w:r>
      <w:r w:rsidR="008234BC">
        <w:t>for</w:t>
      </w:r>
      <w:r>
        <w:t xml:space="preserve"> long </w:t>
      </w:r>
      <w:r w:rsidR="008234BC">
        <w:t>mobility assignments</w:t>
      </w:r>
      <w:r>
        <w:t xml:space="preserve">, which are however the most beneficial and which are currently marginal, </w:t>
      </w:r>
      <w:r w:rsidR="0073744D">
        <w:t>in particular</w:t>
      </w:r>
      <w:r>
        <w:t xml:space="preserve"> for levels III and IV. They firstly originate in the diversity of the educational models in Europe, </w:t>
      </w:r>
      <w:r w:rsidR="0073744D">
        <w:t>in particular</w:t>
      </w:r>
      <w:r>
        <w:t xml:space="preserve"> regarding </w:t>
      </w:r>
      <w:r w:rsidR="008234BC">
        <w:t>vocational education</w:t>
      </w:r>
      <w:r>
        <w:t xml:space="preserve">; then in the current legal </w:t>
      </w:r>
      <w:r w:rsidR="008234BC">
        <w:t>status</w:t>
      </w:r>
      <w:r>
        <w:t xml:space="preserve"> </w:t>
      </w:r>
      <w:r w:rsidR="008234BC">
        <w:t>which is particularly unsuited to</w:t>
      </w:r>
      <w:r>
        <w:t xml:space="preserve"> long </w:t>
      </w:r>
      <w:r w:rsidR="008234BC">
        <w:t>mobility assignments</w:t>
      </w:r>
      <w:r>
        <w:t>:</w:t>
      </w:r>
      <w:r w:rsidR="008234BC">
        <w:t xml:space="preserve"> </w:t>
      </w:r>
      <w:r>
        <w:t xml:space="preserve">the </w:t>
      </w:r>
      <w:r w:rsidR="008234BC">
        <w:t>suspension</w:t>
      </w:r>
      <w:r>
        <w:t xml:space="preserve"> of the contract, coupled with the use of the student status in the matter of social protection</w:t>
      </w:r>
      <w:r w:rsidR="008234BC">
        <w:t>,</w:t>
      </w:r>
      <w:r>
        <w:t xml:space="preserve"> </w:t>
      </w:r>
      <w:r w:rsidR="008234BC">
        <w:t>essentially</w:t>
      </w:r>
      <w:r>
        <w:t xml:space="preserve"> prevent</w:t>
      </w:r>
      <w:r w:rsidR="008234BC">
        <w:t>s</w:t>
      </w:r>
      <w:r>
        <w:t xml:space="preserve"> most long </w:t>
      </w:r>
      <w:r w:rsidR="008234BC">
        <w:t>mobility assignments</w:t>
      </w:r>
      <w:r>
        <w:t xml:space="preserve"> since the apprentice no longer has a salary and </w:t>
      </w:r>
      <w:r w:rsidR="008234BC">
        <w:t>has inadequate</w:t>
      </w:r>
      <w:r>
        <w:t xml:space="preserve"> protection. Another major obstacle to </w:t>
      </w:r>
      <w:r w:rsidR="00761865">
        <w:t>mobility</w:t>
      </w:r>
      <w:r>
        <w:t xml:space="preserve"> is linked to a </w:t>
      </w:r>
      <w:r w:rsidR="008234BC">
        <w:t>system of grants</w:t>
      </w:r>
      <w:r>
        <w:t xml:space="preserve"> and financial support which is too</w:t>
      </w:r>
      <w:r w:rsidR="00981A09">
        <w:t xml:space="preserve"> </w:t>
      </w:r>
      <w:r w:rsidR="008234BC">
        <w:t>limited</w:t>
      </w:r>
      <w:r>
        <w:t xml:space="preserve">, disparate and insufficient in volume: it does not </w:t>
      </w:r>
      <w:r w:rsidR="008234BC">
        <w:t>properly fund</w:t>
      </w:r>
      <w:r>
        <w:t xml:space="preserve"> the </w:t>
      </w:r>
      <w:r w:rsidR="00761865">
        <w:t>mobility</w:t>
      </w:r>
      <w:r>
        <w:t xml:space="preserve"> mentors</w:t>
      </w:r>
      <w:r w:rsidR="008234BC">
        <w:t>,</w:t>
      </w:r>
      <w:r>
        <w:t xml:space="preserve"> who are key </w:t>
      </w:r>
      <w:r w:rsidR="008234BC">
        <w:t>people</w:t>
      </w:r>
      <w:r>
        <w:t xml:space="preserve"> in the achievement of the </w:t>
      </w:r>
      <w:r w:rsidR="00761865">
        <w:t>mobility</w:t>
      </w:r>
      <w:r>
        <w:t xml:space="preserve"> objective, and does not sufficiently support apprentices, whose costs are not fully covered. </w:t>
      </w:r>
      <w:r w:rsidR="00171627">
        <w:t>Similarly</w:t>
      </w:r>
      <w:r>
        <w:t xml:space="preserve">, the difficulties </w:t>
      </w:r>
      <w:r w:rsidR="00981A09">
        <w:t>in recognising</w:t>
      </w:r>
      <w:r>
        <w:t xml:space="preserve"> the skills acquired during </w:t>
      </w:r>
      <w:r w:rsidR="008234BC">
        <w:t>mobility assignments</w:t>
      </w:r>
      <w:r>
        <w:t xml:space="preserve"> </w:t>
      </w:r>
      <w:r w:rsidR="008234BC">
        <w:t>are</w:t>
      </w:r>
      <w:r>
        <w:t xml:space="preserve"> a major obstacle to the </w:t>
      </w:r>
      <w:r w:rsidR="00761865">
        <w:t>mobility</w:t>
      </w:r>
      <w:r>
        <w:t xml:space="preserve"> of </w:t>
      </w:r>
      <w:r w:rsidR="00761865">
        <w:t>apprentices</w:t>
      </w:r>
      <w:r>
        <w:t xml:space="preserve">, which possibility in reality still remains little known, including </w:t>
      </w:r>
      <w:r w:rsidR="008234BC">
        <w:t xml:space="preserve">to </w:t>
      </w:r>
      <w:r>
        <w:t xml:space="preserve">the potential beneficiaries themselves. Lastly, </w:t>
      </w:r>
      <w:r w:rsidR="00761865">
        <w:t>mobility</w:t>
      </w:r>
      <w:r>
        <w:t xml:space="preserve"> is </w:t>
      </w:r>
      <w:r w:rsidR="008234BC">
        <w:t xml:space="preserve">also </w:t>
      </w:r>
      <w:r>
        <w:t xml:space="preserve">suffering from </w:t>
      </w:r>
      <w:r w:rsidR="008234BC">
        <w:t>some reticence</w:t>
      </w:r>
      <w:r>
        <w:t xml:space="preserve"> by </w:t>
      </w:r>
      <w:r w:rsidR="008234BC">
        <w:t>certain</w:t>
      </w:r>
      <w:r>
        <w:t xml:space="preserve"> companies, small and </w:t>
      </w:r>
      <w:r w:rsidR="008234BC">
        <w:t>large</w:t>
      </w:r>
      <w:r>
        <w:t xml:space="preserve">, </w:t>
      </w:r>
      <w:r w:rsidR="0073744D">
        <w:t>in particular</w:t>
      </w:r>
      <w:r>
        <w:t xml:space="preserve"> in the sectors </w:t>
      </w:r>
      <w:r w:rsidR="008234BC">
        <w:t>under pressure</w:t>
      </w:r>
      <w:r>
        <w:t xml:space="preserve"> for which </w:t>
      </w:r>
      <w:r w:rsidR="00EC712E">
        <w:t>the loss of</w:t>
      </w:r>
      <w:r w:rsidR="00171627">
        <w:t xml:space="preserve"> an </w:t>
      </w:r>
      <w:r w:rsidR="00EC712E">
        <w:t>apprentice</w:t>
      </w:r>
      <w:r w:rsidR="00171627">
        <w:t xml:space="preserve"> for a few weeks or months constitutes a loss of labour</w:t>
      </w:r>
      <w:r w:rsidR="004171F1" w:rsidRPr="006E32C3">
        <w:t xml:space="preserve">.  </w:t>
      </w:r>
    </w:p>
    <w:p w14:paraId="4873552C" w14:textId="71112C3C" w:rsidR="004171F1" w:rsidRPr="006E32C3" w:rsidRDefault="00171627" w:rsidP="004171F1">
      <w:r>
        <w:t xml:space="preserve">To </w:t>
      </w:r>
      <w:r w:rsidR="00EC712E">
        <w:t>overcome</w:t>
      </w:r>
      <w:r>
        <w:t xml:space="preserve"> these difficulties, the mission has established a panel of </w:t>
      </w:r>
      <w:r w:rsidR="00EC712E">
        <w:t xml:space="preserve">some </w:t>
      </w:r>
      <w:r>
        <w:t>twenty proposals divided into five topics: legal, financial, organisational, academic and governance</w:t>
      </w:r>
      <w:r w:rsidR="004171F1" w:rsidRPr="006E32C3">
        <w:t xml:space="preserve">. </w:t>
      </w:r>
    </w:p>
    <w:p w14:paraId="0B9758AC" w14:textId="713756C9" w:rsidR="004171F1" w:rsidRPr="006E32C3" w:rsidRDefault="00171627" w:rsidP="004171F1">
      <w:r>
        <w:rPr>
          <w:b/>
        </w:rPr>
        <w:t xml:space="preserve">Some of these proposals constitute a </w:t>
      </w:r>
      <w:r w:rsidR="00F76352">
        <w:rPr>
          <w:b/>
        </w:rPr>
        <w:t>foundation</w:t>
      </w:r>
      <w:r>
        <w:rPr>
          <w:b/>
        </w:rPr>
        <w:t xml:space="preserve"> to ensure a framework </w:t>
      </w:r>
      <w:r w:rsidR="00EC712E">
        <w:rPr>
          <w:b/>
        </w:rPr>
        <w:t>conducive to the</w:t>
      </w:r>
      <w:r>
        <w:rPr>
          <w:b/>
        </w:rPr>
        <w:t xml:space="preserve"> </w:t>
      </w:r>
      <w:r w:rsidR="00761865">
        <w:rPr>
          <w:b/>
        </w:rPr>
        <w:t>mobility</w:t>
      </w:r>
      <w:r w:rsidR="004171F1" w:rsidRPr="006E32C3">
        <w:rPr>
          <w:b/>
        </w:rPr>
        <w:t xml:space="preserve"> </w:t>
      </w:r>
      <w:r>
        <w:t xml:space="preserve">of </w:t>
      </w:r>
      <w:r w:rsidR="00761865">
        <w:t>apprentices</w:t>
      </w:r>
      <w:r w:rsidR="00EC712E">
        <w:t>,</w:t>
      </w:r>
      <w:r>
        <w:t xml:space="preserve"> such as the overhaul of the legal status (proposals 1, 2 and 3), the harmonisation of financial </w:t>
      </w:r>
      <w:r w:rsidR="00EC712E">
        <w:t>grants from</w:t>
      </w:r>
      <w:r>
        <w:t xml:space="preserve"> the </w:t>
      </w:r>
      <w:r w:rsidR="00EC712E">
        <w:t xml:space="preserve">OPCO </w:t>
      </w:r>
      <w:r>
        <w:t>(proposal 4), the development of better</w:t>
      </w:r>
      <w:r w:rsidR="004171F1" w:rsidRPr="006E32C3">
        <w:t xml:space="preserve"> organisation (</w:t>
      </w:r>
      <w:r>
        <w:t>proposals</w:t>
      </w:r>
      <w:r w:rsidR="004171F1" w:rsidRPr="006E32C3">
        <w:t xml:space="preserve"> 9, 10, 11, 12</w:t>
      </w:r>
      <w:r>
        <w:t xml:space="preserve"> and</w:t>
      </w:r>
      <w:r w:rsidR="004171F1" w:rsidRPr="006E32C3">
        <w:t xml:space="preserve"> 14), </w:t>
      </w:r>
      <w:r>
        <w:t>and better governance of that ecosystem (proposals 19, 20 and 21</w:t>
      </w:r>
      <w:r w:rsidR="004171F1" w:rsidRPr="006E32C3">
        <w:t xml:space="preserve">). </w:t>
      </w:r>
    </w:p>
    <w:p w14:paraId="4831703D" w14:textId="003AA04C" w:rsidR="004171F1" w:rsidRPr="006E32C3" w:rsidRDefault="00171627" w:rsidP="004171F1">
      <w:r>
        <w:rPr>
          <w:b/>
        </w:rPr>
        <w:t>Other proposals could be implemented according to the development</w:t>
      </w:r>
      <w:r w:rsidR="00EC712E">
        <w:rPr>
          <w:b/>
        </w:rPr>
        <w:t xml:space="preserve"> scenario</w:t>
      </w:r>
      <w:r>
        <w:rPr>
          <w:b/>
        </w:rPr>
        <w:t xml:space="preserve"> selected. The mission thus proposes three alternative </w:t>
      </w:r>
      <w:r w:rsidR="00EC712E">
        <w:rPr>
          <w:b/>
        </w:rPr>
        <w:t>scenarios</w:t>
      </w:r>
      <w:r w:rsidR="00EC712E" w:rsidRPr="00EC712E">
        <w:rPr>
          <w:bCs/>
        </w:rPr>
        <w:t>,</w:t>
      </w:r>
      <w:r w:rsidR="00EC712E">
        <w:rPr>
          <w:b/>
        </w:rPr>
        <w:t xml:space="preserve"> </w:t>
      </w:r>
      <w:r>
        <w:t xml:space="preserve">calibrated according to targets of varying ambitiousness </w:t>
      </w:r>
      <w:r w:rsidR="00EC712E">
        <w:t>for</w:t>
      </w:r>
      <w:r>
        <w:t xml:space="preserve"> </w:t>
      </w:r>
      <w:r w:rsidR="00EC712E">
        <w:t>expansion</w:t>
      </w:r>
      <w:r>
        <w:t xml:space="preserve"> of </w:t>
      </w:r>
      <w:r w:rsidR="00EC712E">
        <w:t>apprentice</w:t>
      </w:r>
      <w:r>
        <w:t xml:space="preserve"> </w:t>
      </w:r>
      <w:r w:rsidR="00761865">
        <w:t>mobility</w:t>
      </w:r>
      <w:r w:rsidR="006E32C3">
        <w:t>:</w:t>
      </w:r>
      <w:r w:rsidR="004171F1" w:rsidRPr="006E32C3">
        <w:t xml:space="preserve"> </w:t>
      </w:r>
    </w:p>
    <w:p w14:paraId="2BAB9F04" w14:textId="74785C22" w:rsidR="004171F1" w:rsidRPr="006E32C3" w:rsidRDefault="00171627" w:rsidP="004171F1">
      <w:r>
        <w:rPr>
          <w:u w:val="single"/>
        </w:rPr>
        <w:t xml:space="preserve">The first scenario is based on the target of increasing from </w:t>
      </w:r>
      <w:r w:rsidR="00EC712E">
        <w:rPr>
          <w:u w:val="single"/>
        </w:rPr>
        <w:t xml:space="preserve">the current </w:t>
      </w:r>
      <w:r>
        <w:rPr>
          <w:u w:val="single"/>
        </w:rPr>
        <w:t xml:space="preserve">2% </w:t>
      </w:r>
      <w:r w:rsidR="00EC712E">
        <w:rPr>
          <w:u w:val="single"/>
        </w:rPr>
        <w:t xml:space="preserve">of </w:t>
      </w:r>
      <w:r w:rsidR="00761865">
        <w:rPr>
          <w:u w:val="single"/>
        </w:rPr>
        <w:t>apprentices</w:t>
      </w:r>
      <w:r>
        <w:rPr>
          <w:u w:val="single"/>
        </w:rPr>
        <w:t xml:space="preserve"> </w:t>
      </w:r>
      <w:r w:rsidR="00EC712E">
        <w:rPr>
          <w:u w:val="single"/>
        </w:rPr>
        <w:t>o</w:t>
      </w:r>
      <w:r>
        <w:rPr>
          <w:u w:val="single"/>
        </w:rPr>
        <w:t xml:space="preserve">n European </w:t>
      </w:r>
      <w:r w:rsidR="00761865">
        <w:rPr>
          <w:u w:val="single"/>
        </w:rPr>
        <w:t>mobility</w:t>
      </w:r>
      <w:r w:rsidR="00EC712E">
        <w:rPr>
          <w:u w:val="single"/>
        </w:rPr>
        <w:t xml:space="preserve"> assignments</w:t>
      </w:r>
      <w:r>
        <w:rPr>
          <w:u w:val="single"/>
        </w:rPr>
        <w:t xml:space="preserve"> to 8% (75,000 </w:t>
      </w:r>
      <w:r w:rsidR="00761865">
        <w:rPr>
          <w:u w:val="single"/>
        </w:rPr>
        <w:t>apprentices</w:t>
      </w:r>
      <w:r w:rsidR="004171F1" w:rsidRPr="006E32C3">
        <w:rPr>
          <w:u w:val="single"/>
        </w:rPr>
        <w:t>)</w:t>
      </w:r>
      <w:r w:rsidR="004171F1" w:rsidRPr="006E32C3">
        <w:t xml:space="preserve"> </w:t>
      </w:r>
      <w:r>
        <w:t xml:space="preserve">which is the target fixed by the European Union in its recommendation of 2020. It is an ambitious objective which can only be </w:t>
      </w:r>
      <w:r w:rsidR="00EC712E">
        <w:t>achieved</w:t>
      </w:r>
      <w:r>
        <w:t xml:space="preserve"> in the medium term and through </w:t>
      </w:r>
      <w:r w:rsidR="00EC712E">
        <w:t>mobilisation</w:t>
      </w:r>
      <w:r>
        <w:t xml:space="preserve"> of resources to finance the posts of </w:t>
      </w:r>
      <w:r w:rsidR="00761865">
        <w:lastRenderedPageBreak/>
        <w:t>mobility</w:t>
      </w:r>
      <w:r>
        <w:t xml:space="preserve"> mentors in all </w:t>
      </w:r>
      <w:r w:rsidR="00EC712E">
        <w:t>CFAs</w:t>
      </w:r>
      <w:r>
        <w:t xml:space="preserve">, and </w:t>
      </w:r>
      <w:r w:rsidR="00EC712E">
        <w:t>compensate</w:t>
      </w:r>
      <w:r>
        <w:t xml:space="preserve"> in full the loss of salaries of </w:t>
      </w:r>
      <w:r w:rsidR="00761865">
        <w:t>apprentices</w:t>
      </w:r>
      <w:r>
        <w:t xml:space="preserve"> </w:t>
      </w:r>
      <w:r w:rsidR="00EC712E">
        <w:t>o</w:t>
      </w:r>
      <w:r>
        <w:t xml:space="preserve">n long </w:t>
      </w:r>
      <w:r w:rsidR="00761865">
        <w:t>mobility</w:t>
      </w:r>
      <w:r>
        <w:t xml:space="preserve"> </w:t>
      </w:r>
      <w:r w:rsidR="00EC712E">
        <w:t xml:space="preserve">assignments </w:t>
      </w:r>
      <w:r>
        <w:t xml:space="preserve">(proposals 5, 6, 7 and 8). It will also require taking measures to adapt </w:t>
      </w:r>
      <w:r w:rsidR="00EC712E">
        <w:t xml:space="preserve">apprenticeship </w:t>
      </w:r>
      <w:r>
        <w:t xml:space="preserve">training pathways by </w:t>
      </w:r>
      <w:r w:rsidR="00EC712E">
        <w:t>improving</w:t>
      </w:r>
      <w:r>
        <w:t xml:space="preserve"> </w:t>
      </w:r>
      <w:r w:rsidR="00EC712E">
        <w:t xml:space="preserve">apprentices’ </w:t>
      </w:r>
      <w:r>
        <w:t xml:space="preserve">linguistic skills, by introducing mandatory </w:t>
      </w:r>
      <w:r w:rsidR="00761865">
        <w:t>mobility</w:t>
      </w:r>
      <w:r w:rsidR="00EC712E">
        <w:t xml:space="preserve"> assignments</w:t>
      </w:r>
      <w:r>
        <w:t xml:space="preserve"> for certain qualifications (proposals 15 and 16), and </w:t>
      </w:r>
      <w:r w:rsidR="00F76352">
        <w:t xml:space="preserve">by </w:t>
      </w:r>
      <w:r>
        <w:t xml:space="preserve">facilitating </w:t>
      </w:r>
      <w:r w:rsidR="00F76352">
        <w:t xml:space="preserve">the </w:t>
      </w:r>
      <w:r>
        <w:t xml:space="preserve">recognition of </w:t>
      </w:r>
      <w:r w:rsidR="00F76352">
        <w:t>the knowledge acquired</w:t>
      </w:r>
      <w:r>
        <w:t xml:space="preserve"> (proposals 17 and 18). It will entail launching a general public advertising campaign (proposal</w:t>
      </w:r>
      <w:r w:rsidR="004171F1" w:rsidRPr="006E32C3">
        <w:t xml:space="preserve"> 13).</w:t>
      </w:r>
    </w:p>
    <w:p w14:paraId="72002189" w14:textId="25A3073B" w:rsidR="004171F1" w:rsidRPr="006E32C3" w:rsidRDefault="00171627" w:rsidP="004171F1">
      <w:r>
        <w:rPr>
          <w:u w:val="single"/>
        </w:rPr>
        <w:t xml:space="preserve">The second, intermediate, scenario upholds a target of 30,000 </w:t>
      </w:r>
      <w:r w:rsidR="00761865">
        <w:rPr>
          <w:u w:val="single"/>
        </w:rPr>
        <w:t>apprentices</w:t>
      </w:r>
      <w:r>
        <w:rPr>
          <w:u w:val="single"/>
        </w:rPr>
        <w:t xml:space="preserve"> </w:t>
      </w:r>
      <w:r w:rsidR="00761865">
        <w:rPr>
          <w:u w:val="single"/>
        </w:rPr>
        <w:t>on mobility assignments</w:t>
      </w:r>
      <w:r>
        <w:rPr>
          <w:u w:val="single"/>
        </w:rPr>
        <w:t xml:space="preserve"> in Europe each year</w:t>
      </w:r>
      <w:r w:rsidR="004171F1" w:rsidRPr="006E32C3">
        <w:t xml:space="preserve">, </w:t>
      </w:r>
      <w:r>
        <w:t xml:space="preserve">which is a little less than half the European target, but at the level of the number of </w:t>
      </w:r>
      <w:r w:rsidR="00761865">
        <w:t>apprentices</w:t>
      </w:r>
      <w:r>
        <w:t xml:space="preserve"> </w:t>
      </w:r>
      <w:r w:rsidR="00761865">
        <w:t>on mobility assignments</w:t>
      </w:r>
      <w:r>
        <w:t xml:space="preserve"> in Germany just before </w:t>
      </w:r>
      <w:r w:rsidR="000B7DBD">
        <w:t>COVID</w:t>
      </w:r>
      <w:r>
        <w:t xml:space="preserve">. It will not require </w:t>
      </w:r>
      <w:r w:rsidR="00F76352">
        <w:t xml:space="preserve">such significant </w:t>
      </w:r>
      <w:r>
        <w:t xml:space="preserve">funding of the </w:t>
      </w:r>
      <w:r w:rsidR="00761865">
        <w:t>mobility</w:t>
      </w:r>
      <w:r>
        <w:t xml:space="preserve"> mentors (downgraded proposal 7), or such a large envelope to ensure the compensation of salaries, but will however involve</w:t>
      </w:r>
      <w:r w:rsidR="00F76352" w:rsidRPr="00F76352">
        <w:t xml:space="preserve"> </w:t>
      </w:r>
      <w:r w:rsidR="00F76352">
        <w:t>taking major measures</w:t>
      </w:r>
      <w:r>
        <w:t xml:space="preserve"> </w:t>
      </w:r>
      <w:r w:rsidR="00F76352">
        <w:t>in order to quadruple</w:t>
      </w:r>
      <w:r>
        <w:t xml:space="preserve"> the number of </w:t>
      </w:r>
      <w:r w:rsidR="00761865">
        <w:t>apprentices</w:t>
      </w:r>
      <w:r>
        <w:t xml:space="preserve"> </w:t>
      </w:r>
      <w:r w:rsidR="00761865">
        <w:t>on mobility assignments</w:t>
      </w:r>
      <w:r>
        <w:t xml:space="preserve"> (proposals 4, 5, 6, 7, 8, 13, 15 and 16</w:t>
      </w:r>
      <w:r w:rsidR="004171F1" w:rsidRPr="006E32C3">
        <w:t xml:space="preserve">). </w:t>
      </w:r>
    </w:p>
    <w:p w14:paraId="0A1370BF" w14:textId="53A9FECC" w:rsidR="004171F1" w:rsidRPr="006E32C3" w:rsidRDefault="00171627" w:rsidP="004171F1">
      <w:r>
        <w:rPr>
          <w:u w:val="single"/>
        </w:rPr>
        <w:t xml:space="preserve">The third scenario, lastly, is a minimalist scenario which upholds the </w:t>
      </w:r>
      <w:r w:rsidR="00F76352">
        <w:rPr>
          <w:u w:val="single"/>
        </w:rPr>
        <w:t>target</w:t>
      </w:r>
      <w:r>
        <w:rPr>
          <w:u w:val="single"/>
        </w:rPr>
        <w:t xml:space="preserve"> of 15,000 </w:t>
      </w:r>
      <w:r w:rsidR="00761865">
        <w:rPr>
          <w:u w:val="single"/>
        </w:rPr>
        <w:t>apprentices</w:t>
      </w:r>
      <w:r>
        <w:rPr>
          <w:u w:val="single"/>
        </w:rPr>
        <w:t xml:space="preserve"> </w:t>
      </w:r>
      <w:r w:rsidR="00761865">
        <w:rPr>
          <w:u w:val="single"/>
        </w:rPr>
        <w:t>on mobility assignments</w:t>
      </w:r>
      <w:r w:rsidR="004171F1" w:rsidRPr="006E32C3">
        <w:t xml:space="preserve"> </w:t>
      </w:r>
      <w:r w:rsidR="00F76352">
        <w:t>set</w:t>
      </w:r>
      <w:r>
        <w:t xml:space="preserve"> by the government </w:t>
      </w:r>
      <w:r w:rsidR="00F76352">
        <w:t xml:space="preserve">in 2017 </w:t>
      </w:r>
      <w:r>
        <w:t xml:space="preserve">and adopted within the framework of the French Presidency of the </w:t>
      </w:r>
      <w:r w:rsidR="00F76352">
        <w:t xml:space="preserve">Council of the </w:t>
      </w:r>
      <w:r>
        <w:t>European Union (</w:t>
      </w:r>
      <w:r w:rsidR="00F76352">
        <w:t>PFUE</w:t>
      </w:r>
      <w:r>
        <w:t xml:space="preserve">) of the first half of 2022. It is a </w:t>
      </w:r>
      <w:r w:rsidR="00F76352">
        <w:t>short-term</w:t>
      </w:r>
      <w:r>
        <w:t xml:space="preserve"> goal which, above</w:t>
      </w:r>
      <w:r w:rsidR="00F76352">
        <w:t xml:space="preserve"> and beyond</w:t>
      </w:r>
      <w:r>
        <w:t xml:space="preserve"> the </w:t>
      </w:r>
      <w:r w:rsidR="00F76352">
        <w:t>foundation</w:t>
      </w:r>
      <w:r>
        <w:t xml:space="preserve">, will require less substantial funding of </w:t>
      </w:r>
      <w:r w:rsidR="00761865">
        <w:t>mobility</w:t>
      </w:r>
      <w:r>
        <w:t xml:space="preserve"> mentors (downgraded proposal 7) and a restricted envelope to finance the compensation of salaries. This scenario can be achieved without implementing proposals</w:t>
      </w:r>
      <w:r w:rsidR="004171F1" w:rsidRPr="006E32C3">
        <w:t xml:space="preserve"> 5,</w:t>
      </w:r>
      <w:r>
        <w:t xml:space="preserve"> </w:t>
      </w:r>
      <w:r w:rsidR="004171F1" w:rsidRPr="006E32C3">
        <w:t>6,</w:t>
      </w:r>
      <w:r>
        <w:t xml:space="preserve"> </w:t>
      </w:r>
      <w:r w:rsidR="004171F1" w:rsidRPr="006E32C3">
        <w:t>7,</w:t>
      </w:r>
      <w:r>
        <w:t xml:space="preserve"> </w:t>
      </w:r>
      <w:r w:rsidR="004171F1" w:rsidRPr="006E32C3">
        <w:t>8, 13, 15, 16,</w:t>
      </w:r>
      <w:r>
        <w:t xml:space="preserve"> </w:t>
      </w:r>
      <w:r w:rsidR="004171F1" w:rsidRPr="006E32C3">
        <w:t>17</w:t>
      </w:r>
      <w:r>
        <w:t xml:space="preserve"> and</w:t>
      </w:r>
      <w:r w:rsidR="004171F1" w:rsidRPr="006E32C3">
        <w:t xml:space="preserve"> 18.</w:t>
      </w:r>
    </w:p>
    <w:p w14:paraId="26D8F920" w14:textId="6C760F1F" w:rsidR="004171F1" w:rsidRPr="006E32C3" w:rsidRDefault="00171627" w:rsidP="004171F1">
      <w:r>
        <w:t>The following table summarises the main costs associated to these three scenarios</w:t>
      </w:r>
      <w:r w:rsidR="004171F1" w:rsidRPr="006E32C3">
        <w:t xml:space="preserve">. </w:t>
      </w:r>
    </w:p>
    <w:p w14:paraId="01762F9C" w14:textId="0C187B97" w:rsidR="004171F1" w:rsidRPr="00F76352" w:rsidRDefault="00171627" w:rsidP="00F76352">
      <w:pPr>
        <w:pStyle w:val="TTableau"/>
        <w:numPr>
          <w:ilvl w:val="0"/>
          <w:numId w:val="0"/>
        </w:numPr>
        <w:rPr>
          <w:lang w:val="en-GB"/>
        </w:rPr>
      </w:pPr>
      <w:r>
        <w:rPr>
          <w:lang w:val="en-GB"/>
        </w:rPr>
        <w:t>Table 1:</w:t>
      </w:r>
      <w:r>
        <w:rPr>
          <w:lang w:val="en-GB"/>
        </w:rPr>
        <w:tab/>
        <w:t>Costing of the principal measures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42C4F" w14:paraId="159D36A9" w14:textId="77777777" w:rsidTr="00F76352">
        <w:tc>
          <w:tcPr>
            <w:tcW w:w="1510" w:type="dxa"/>
            <w:vAlign w:val="bottom"/>
          </w:tcPr>
          <w:p w14:paraId="05D2C7BB" w14:textId="1224EDCC" w:rsidR="00442C4F" w:rsidRPr="00442C4F" w:rsidRDefault="00442C4F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 w:rsidRPr="00442C4F">
              <w:rPr>
                <w:sz w:val="20"/>
                <w:szCs w:val="20"/>
              </w:rPr>
              <w:t>Simulations</w:t>
            </w:r>
          </w:p>
        </w:tc>
        <w:tc>
          <w:tcPr>
            <w:tcW w:w="1510" w:type="dxa"/>
            <w:vAlign w:val="bottom"/>
          </w:tcPr>
          <w:p w14:paraId="0245107A" w14:textId="218DC857" w:rsidR="00442C4F" w:rsidRPr="00442C4F" w:rsidRDefault="00442C4F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number of </w:t>
            </w:r>
            <w:r w:rsidR="008234BC">
              <w:rPr>
                <w:sz w:val="20"/>
                <w:szCs w:val="20"/>
              </w:rPr>
              <w:t>mobility assignments</w:t>
            </w:r>
          </w:p>
        </w:tc>
        <w:tc>
          <w:tcPr>
            <w:tcW w:w="1510" w:type="dxa"/>
            <w:vAlign w:val="bottom"/>
          </w:tcPr>
          <w:p w14:paraId="2E95CCFF" w14:textId="1A98CD52" w:rsidR="00442C4F" w:rsidRPr="00442C4F" w:rsidRDefault="00442C4F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Compensation of costs of </w:t>
            </w:r>
            <w:r w:rsidR="00761865">
              <w:rPr>
                <w:sz w:val="20"/>
                <w:szCs w:val="20"/>
              </w:rPr>
              <w:t>apprentices</w:t>
            </w:r>
            <w:r>
              <w:rPr>
                <w:sz w:val="20"/>
                <w:szCs w:val="20"/>
              </w:rPr>
              <w:t xml:space="preserve"> in euros</w:t>
            </w:r>
          </w:p>
        </w:tc>
        <w:tc>
          <w:tcPr>
            <w:tcW w:w="1510" w:type="dxa"/>
            <w:vAlign w:val="bottom"/>
          </w:tcPr>
          <w:p w14:paraId="43E620B7" w14:textId="11CD782E" w:rsidR="00442C4F" w:rsidRPr="00442C4F" w:rsidRDefault="00442C4F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of </w:t>
            </w:r>
            <w:r w:rsidR="00761865">
              <w:rPr>
                <w:sz w:val="20"/>
                <w:szCs w:val="20"/>
              </w:rPr>
              <w:t>mobility</w:t>
            </w:r>
            <w:r>
              <w:rPr>
                <w:sz w:val="20"/>
                <w:szCs w:val="20"/>
              </w:rPr>
              <w:t xml:space="preserve"> mentors in euros</w:t>
            </w:r>
          </w:p>
        </w:tc>
        <w:tc>
          <w:tcPr>
            <w:tcW w:w="1511" w:type="dxa"/>
            <w:vAlign w:val="bottom"/>
          </w:tcPr>
          <w:p w14:paraId="6E81E14C" w14:textId="0DDB1709" w:rsidR="00442C4F" w:rsidRPr="00442C4F" w:rsidRDefault="00442C4F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gross cost in euros</w:t>
            </w:r>
          </w:p>
        </w:tc>
        <w:tc>
          <w:tcPr>
            <w:tcW w:w="1511" w:type="dxa"/>
            <w:vAlign w:val="bottom"/>
          </w:tcPr>
          <w:p w14:paraId="07AD1221" w14:textId="1E02D3E0" w:rsidR="00442C4F" w:rsidRPr="00442C4F" w:rsidRDefault="00F76352" w:rsidP="00F76352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42C4F">
              <w:rPr>
                <w:sz w:val="20"/>
                <w:szCs w:val="20"/>
              </w:rPr>
              <w:t xml:space="preserve">otal cost </w:t>
            </w:r>
            <w:r>
              <w:rPr>
                <w:sz w:val="20"/>
                <w:szCs w:val="20"/>
              </w:rPr>
              <w:t xml:space="preserve">net </w:t>
            </w:r>
            <w:r w:rsidR="00442C4F">
              <w:rPr>
                <w:sz w:val="20"/>
                <w:szCs w:val="20"/>
              </w:rPr>
              <w:t>of ERASMUS+ funding up 80% in euros</w:t>
            </w:r>
          </w:p>
        </w:tc>
      </w:tr>
      <w:tr w:rsidR="00442C4F" w14:paraId="00220DD5" w14:textId="77777777" w:rsidTr="00442C4F">
        <w:tc>
          <w:tcPr>
            <w:tcW w:w="1510" w:type="dxa"/>
          </w:tcPr>
          <w:p w14:paraId="4B46AD7D" w14:textId="3F14AE7B" w:rsidR="00442C4F" w:rsidRPr="00442C4F" w:rsidRDefault="00442C4F" w:rsidP="00442C4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 1</w:t>
            </w:r>
          </w:p>
        </w:tc>
        <w:tc>
          <w:tcPr>
            <w:tcW w:w="1510" w:type="dxa"/>
          </w:tcPr>
          <w:p w14:paraId="717A61CF" w14:textId="298D95D9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510" w:type="dxa"/>
          </w:tcPr>
          <w:p w14:paraId="7F073463" w14:textId="0E6612AD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120,543,300</w:t>
            </w:r>
          </w:p>
        </w:tc>
        <w:tc>
          <w:tcPr>
            <w:tcW w:w="1510" w:type="dxa"/>
          </w:tcPr>
          <w:p w14:paraId="5271B346" w14:textId="3F14F5D6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76,000,000</w:t>
            </w:r>
          </w:p>
        </w:tc>
        <w:tc>
          <w:tcPr>
            <w:tcW w:w="1511" w:type="dxa"/>
          </w:tcPr>
          <w:p w14:paraId="6EF76143" w14:textId="1E57E838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196,543,300</w:t>
            </w:r>
          </w:p>
        </w:tc>
        <w:tc>
          <w:tcPr>
            <w:tcW w:w="1511" w:type="dxa"/>
          </w:tcPr>
          <w:p w14:paraId="235B4991" w14:textId="0012C6C3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177,347,393</w:t>
            </w:r>
          </w:p>
        </w:tc>
      </w:tr>
      <w:tr w:rsidR="00442C4F" w14:paraId="03B02828" w14:textId="77777777" w:rsidTr="00442C4F">
        <w:tc>
          <w:tcPr>
            <w:tcW w:w="1510" w:type="dxa"/>
          </w:tcPr>
          <w:p w14:paraId="357942CD" w14:textId="1F4659AA" w:rsidR="00442C4F" w:rsidRPr="00442C4F" w:rsidRDefault="00442C4F" w:rsidP="00442C4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 2</w:t>
            </w:r>
          </w:p>
        </w:tc>
        <w:tc>
          <w:tcPr>
            <w:tcW w:w="1510" w:type="dxa"/>
          </w:tcPr>
          <w:p w14:paraId="08048294" w14:textId="3F1F5B64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510" w:type="dxa"/>
          </w:tcPr>
          <w:p w14:paraId="301209EF" w14:textId="1A4F85D2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21,365,550</w:t>
            </w:r>
          </w:p>
        </w:tc>
        <w:tc>
          <w:tcPr>
            <w:tcW w:w="1510" w:type="dxa"/>
          </w:tcPr>
          <w:p w14:paraId="3F13E912" w14:textId="1D9FA44B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38,000,000</w:t>
            </w:r>
          </w:p>
        </w:tc>
        <w:tc>
          <w:tcPr>
            <w:tcW w:w="1511" w:type="dxa"/>
          </w:tcPr>
          <w:p w14:paraId="79E129CF" w14:textId="5CA85D08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59,365,550</w:t>
            </w:r>
          </w:p>
        </w:tc>
        <w:tc>
          <w:tcPr>
            <w:tcW w:w="1511" w:type="dxa"/>
          </w:tcPr>
          <w:p w14:paraId="4E0DD4F9" w14:textId="1807F220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48,701,157</w:t>
            </w:r>
          </w:p>
        </w:tc>
      </w:tr>
      <w:tr w:rsidR="00442C4F" w14:paraId="34C03317" w14:textId="77777777" w:rsidTr="00442C4F">
        <w:tc>
          <w:tcPr>
            <w:tcW w:w="1510" w:type="dxa"/>
          </w:tcPr>
          <w:p w14:paraId="180135E4" w14:textId="26EC1BA4" w:rsidR="00442C4F" w:rsidRPr="00442C4F" w:rsidRDefault="00442C4F" w:rsidP="00442C4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 3</w:t>
            </w:r>
          </w:p>
        </w:tc>
        <w:tc>
          <w:tcPr>
            <w:tcW w:w="1510" w:type="dxa"/>
          </w:tcPr>
          <w:p w14:paraId="017D1784" w14:textId="63020D0E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510" w:type="dxa"/>
          </w:tcPr>
          <w:p w14:paraId="36FBD275" w14:textId="637DB48A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42,731,100</w:t>
            </w:r>
          </w:p>
        </w:tc>
        <w:tc>
          <w:tcPr>
            <w:tcW w:w="1510" w:type="dxa"/>
          </w:tcPr>
          <w:p w14:paraId="75C5B27C" w14:textId="3254D006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38,000,000</w:t>
            </w:r>
          </w:p>
        </w:tc>
        <w:tc>
          <w:tcPr>
            <w:tcW w:w="1511" w:type="dxa"/>
          </w:tcPr>
          <w:p w14:paraId="3C5D3E80" w14:textId="214C3099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80,731,100</w:t>
            </w:r>
          </w:p>
        </w:tc>
        <w:tc>
          <w:tcPr>
            <w:tcW w:w="1511" w:type="dxa"/>
          </w:tcPr>
          <w:p w14:paraId="60338D4A" w14:textId="117F7D99" w:rsidR="00442C4F" w:rsidRPr="00442C4F" w:rsidRDefault="00442C4F" w:rsidP="00F763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70,066,707</w:t>
            </w:r>
          </w:p>
        </w:tc>
      </w:tr>
    </w:tbl>
    <w:p w14:paraId="2E0D37A2" w14:textId="77777777" w:rsidR="004171F1" w:rsidRPr="006E32C3" w:rsidRDefault="004171F1" w:rsidP="004171F1">
      <w:pPr>
        <w:pStyle w:val="Source"/>
        <w:rPr>
          <w:lang w:val="en-GB"/>
        </w:rPr>
      </w:pPr>
      <w:r w:rsidRPr="006E32C3">
        <w:rPr>
          <w:lang w:val="en-GB"/>
        </w:rPr>
        <w:t> Mission</w:t>
      </w:r>
    </w:p>
    <w:p w14:paraId="4C1C1207" w14:textId="7538115A" w:rsidR="004171F1" w:rsidRPr="006E32C3" w:rsidRDefault="00442C4F" w:rsidP="004171F1">
      <w:r>
        <w:t xml:space="preserve">All these proposals should make it possible to support a positive dynamic which </w:t>
      </w:r>
      <w:r w:rsidR="00F76352">
        <w:t>has been</w:t>
      </w:r>
      <w:r>
        <w:t xml:space="preserve"> emerging since the end of </w:t>
      </w:r>
      <w:r w:rsidR="00FC620C">
        <w:t xml:space="preserve">COVID </w:t>
      </w:r>
      <w:r>
        <w:t xml:space="preserve">and the </w:t>
      </w:r>
      <w:r w:rsidR="00F76352">
        <w:t>increase in power</w:t>
      </w:r>
      <w:r>
        <w:t xml:space="preserve"> of the stakeholders arising out of the 2018 Law</w:t>
      </w:r>
      <w:r w:rsidR="00F76352">
        <w:t>,</w:t>
      </w:r>
      <w:r>
        <w:t xml:space="preserve"> </w:t>
      </w:r>
      <w:r w:rsidR="00F76352">
        <w:t>which stakeholders</w:t>
      </w:r>
      <w:r>
        <w:t xml:space="preserve"> need an ambitious, funded and simplified framework in order to draw </w:t>
      </w:r>
      <w:r w:rsidR="00F76352">
        <w:t xml:space="preserve">all the expected benefits </w:t>
      </w:r>
      <w:r>
        <w:t xml:space="preserve">from the European </w:t>
      </w:r>
      <w:r w:rsidR="00761865">
        <w:t>mobility</w:t>
      </w:r>
      <w:r>
        <w:t xml:space="preserve"> of </w:t>
      </w:r>
      <w:r w:rsidR="00761865">
        <w:t>apprentices</w:t>
      </w:r>
      <w:r w:rsidR="004171F1" w:rsidRPr="006E32C3">
        <w:t xml:space="preserve">. </w:t>
      </w:r>
    </w:p>
    <w:p w14:paraId="6BEC6328" w14:textId="2EF67516" w:rsidR="004171F1" w:rsidRPr="006E32C3" w:rsidRDefault="00442C4F" w:rsidP="004171F1">
      <w:r>
        <w:t xml:space="preserve">On the side of the businesses </w:t>
      </w:r>
      <w:r w:rsidR="0073744D">
        <w:t>in particular</w:t>
      </w:r>
      <w:r>
        <w:t xml:space="preserve">, </w:t>
      </w:r>
      <w:r w:rsidR="001A2D63">
        <w:t>demand is strong for</w:t>
      </w:r>
      <w:r>
        <w:t xml:space="preserve"> a simplification of the legal framework and adequate financial support</w:t>
      </w:r>
      <w:r w:rsidR="001A2D63">
        <w:t xml:space="preserve"> in order</w:t>
      </w:r>
      <w:r>
        <w:t xml:space="preserve"> to </w:t>
      </w:r>
      <w:r w:rsidR="001A2D63">
        <w:t>fuel</w:t>
      </w:r>
      <w:r>
        <w:t xml:space="preserve"> </w:t>
      </w:r>
      <w:r w:rsidR="00761865">
        <w:t>mobility</w:t>
      </w:r>
      <w:r>
        <w:t xml:space="preserve"> projects </w:t>
      </w:r>
      <w:r w:rsidR="001A2D63">
        <w:t xml:space="preserve">beneficial </w:t>
      </w:r>
      <w:r>
        <w:t xml:space="preserve">for the </w:t>
      </w:r>
      <w:r w:rsidR="001A2D63">
        <w:t>professional development</w:t>
      </w:r>
      <w:r>
        <w:t xml:space="preserve"> of their employees and future employees, in </w:t>
      </w:r>
      <w:r w:rsidR="001A2D63">
        <w:t>the</w:t>
      </w:r>
      <w:r>
        <w:t xml:space="preserve"> current economic </w:t>
      </w:r>
      <w:r w:rsidR="001A2D63">
        <w:t>climate</w:t>
      </w:r>
      <w:r>
        <w:t xml:space="preserve"> where the internationalisation of companies, </w:t>
      </w:r>
      <w:r w:rsidR="0073744D">
        <w:t>in particular</w:t>
      </w:r>
      <w:r>
        <w:t xml:space="preserve"> those of a medium size, is </w:t>
      </w:r>
      <w:r w:rsidR="001A2D63">
        <w:t>pushing for</w:t>
      </w:r>
      <w:r>
        <w:t xml:space="preserve"> their employees </w:t>
      </w:r>
      <w:r w:rsidR="001A2D63">
        <w:t>to</w:t>
      </w:r>
      <w:r>
        <w:t xml:space="preserve"> acquire</w:t>
      </w:r>
      <w:r w:rsidR="001A2D63" w:rsidRPr="001A2D63">
        <w:t xml:space="preserve"> </w:t>
      </w:r>
      <w:r w:rsidR="001A2D63">
        <w:t>an international experience</w:t>
      </w:r>
      <w:r>
        <w:t xml:space="preserve">, </w:t>
      </w:r>
      <w:r w:rsidR="001A2D63">
        <w:t>through</w:t>
      </w:r>
      <w:r>
        <w:t xml:space="preserve"> </w:t>
      </w:r>
      <w:r w:rsidR="00761865">
        <w:t>mobility</w:t>
      </w:r>
      <w:r>
        <w:t>, as early as possible during their  training pathway</w:t>
      </w:r>
      <w:r w:rsidR="004171F1" w:rsidRPr="006E32C3">
        <w:t xml:space="preserve">. </w:t>
      </w:r>
    </w:p>
    <w:p w14:paraId="4182B6ED" w14:textId="77777777" w:rsidR="00546961" w:rsidRDefault="00546961"/>
    <w:sectPr w:rsidR="00546961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99E2" w14:textId="77777777" w:rsidR="00356DB3" w:rsidRPr="006E32C3" w:rsidRDefault="00356DB3" w:rsidP="004171F1">
      <w:pPr>
        <w:spacing w:before="0" w:after="0" w:line="240" w:lineRule="auto"/>
      </w:pPr>
      <w:r w:rsidRPr="006E32C3">
        <w:separator/>
      </w:r>
    </w:p>
  </w:endnote>
  <w:endnote w:type="continuationSeparator" w:id="0">
    <w:p w14:paraId="4CEB8B2A" w14:textId="77777777" w:rsidR="00356DB3" w:rsidRPr="006E32C3" w:rsidRDefault="00356DB3" w:rsidP="004171F1">
      <w:pPr>
        <w:spacing w:before="0" w:after="0" w:line="240" w:lineRule="auto"/>
      </w:pPr>
      <w:r w:rsidRPr="006E32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ps">
    <w:altName w:val="Malgun Gothic"/>
    <w:charset w:val="00"/>
    <w:family w:val="modern"/>
    <w:pitch w:val="fixed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BC38" w14:textId="77777777" w:rsidR="004171F1" w:rsidRPr="006E32C3" w:rsidRDefault="004171F1">
    <w:pPr>
      <w:ind w:right="360" w:firstLine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F254" w14:textId="77777777" w:rsidR="004171F1" w:rsidRPr="006E32C3" w:rsidRDefault="004171F1" w:rsidP="00EF7B56">
    <w:pPr>
      <w:jc w:val="center"/>
    </w:pPr>
    <w:r w:rsidRPr="006E32C3">
      <w:t xml:space="preserve">- </w:t>
    </w:r>
    <w:r w:rsidRPr="006E32C3">
      <w:fldChar w:fldCharType="begin"/>
    </w:r>
    <w:r w:rsidRPr="006E32C3">
      <w:instrText xml:space="preserve"> PAGE   \* MERGEFORMAT </w:instrText>
    </w:r>
    <w:r w:rsidRPr="006E32C3">
      <w:fldChar w:fldCharType="separate"/>
    </w:r>
    <w:r w:rsidRPr="006E32C3">
      <w:t>13</w:t>
    </w:r>
    <w:r w:rsidRPr="006E32C3">
      <w:fldChar w:fldCharType="end"/>
    </w:r>
    <w:r w:rsidRPr="006E32C3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4700"/>
      <w:docPartObj>
        <w:docPartGallery w:val="Page Numbers (Bottom of Page)"/>
        <w:docPartUnique/>
      </w:docPartObj>
    </w:sdtPr>
    <w:sdtEndPr>
      <w:rPr>
        <w:color w:val="0000FF"/>
      </w:rPr>
    </w:sdtEndPr>
    <w:sdtContent>
      <w:p w14:paraId="74E30CE6" w14:textId="77777777" w:rsidR="004171F1" w:rsidRPr="006E32C3" w:rsidRDefault="004171F1">
        <w:pPr>
          <w:pStyle w:val="Pieddepage"/>
          <w:jc w:val="center"/>
          <w:rPr>
            <w:color w:val="0000FF"/>
          </w:rPr>
        </w:pPr>
        <w:r w:rsidRPr="006E32C3">
          <w:t>-</w:t>
        </w:r>
        <w:r w:rsidRPr="006E32C3">
          <w:rPr>
            <w:color w:val="0000FF"/>
          </w:rPr>
          <w:fldChar w:fldCharType="begin"/>
        </w:r>
        <w:r w:rsidRPr="006E32C3">
          <w:rPr>
            <w:color w:val="0000FF"/>
          </w:rPr>
          <w:instrText>PAGE   \* MERGEFORMAT</w:instrText>
        </w:r>
        <w:r w:rsidRPr="006E32C3">
          <w:rPr>
            <w:color w:val="0000FF"/>
          </w:rPr>
          <w:fldChar w:fldCharType="separate"/>
        </w:r>
        <w:r w:rsidRPr="006E32C3">
          <w:rPr>
            <w:color w:val="0000FF"/>
          </w:rPr>
          <w:t>2</w:t>
        </w:r>
        <w:r w:rsidRPr="006E32C3">
          <w:rPr>
            <w:color w:val="0000FF"/>
          </w:rPr>
          <w:fldChar w:fldCharType="end"/>
        </w:r>
        <w:r w:rsidRPr="006E32C3">
          <w:rPr>
            <w:color w:val="0000FF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B48" w14:textId="77777777" w:rsidR="00356DB3" w:rsidRPr="006E32C3" w:rsidRDefault="00356DB3" w:rsidP="004171F1">
      <w:pPr>
        <w:spacing w:before="0" w:after="0" w:line="240" w:lineRule="auto"/>
      </w:pPr>
      <w:r w:rsidRPr="006E32C3">
        <w:separator/>
      </w:r>
    </w:p>
  </w:footnote>
  <w:footnote w:type="continuationSeparator" w:id="0">
    <w:p w14:paraId="7F343684" w14:textId="77777777" w:rsidR="00356DB3" w:rsidRPr="006E32C3" w:rsidRDefault="00356DB3" w:rsidP="004171F1">
      <w:pPr>
        <w:spacing w:before="0" w:after="0" w:line="240" w:lineRule="auto"/>
      </w:pPr>
      <w:r w:rsidRPr="006E32C3">
        <w:continuationSeparator/>
      </w:r>
    </w:p>
  </w:footnote>
  <w:footnote w:id="1">
    <w:p w14:paraId="4733426E" w14:textId="6755C438" w:rsidR="004171F1" w:rsidRPr="000E2FF0" w:rsidRDefault="004171F1" w:rsidP="004171F1">
      <w:pPr>
        <w:pStyle w:val="Notedebasdepage"/>
      </w:pPr>
      <w:r w:rsidRPr="000E2FF0">
        <w:rPr>
          <w:rStyle w:val="Appelnotedebasdep"/>
        </w:rPr>
        <w:footnoteRef/>
      </w:r>
      <w:r w:rsidRPr="000E2FF0">
        <w:t xml:space="preserve"> R</w:t>
      </w:r>
      <w:r w:rsidR="00132DF8" w:rsidRPr="000E2FF0">
        <w:t>e</w:t>
      </w:r>
      <w:r w:rsidRPr="000E2FF0">
        <w:t xml:space="preserve">port </w:t>
      </w:r>
      <w:r w:rsidR="00132DF8" w:rsidRPr="000E2FF0">
        <w:t xml:space="preserve">no. </w:t>
      </w:r>
      <w:r w:rsidRPr="000E2FF0">
        <w:t xml:space="preserve">2017-048R </w:t>
      </w:r>
      <w:r w:rsidR="00132DF8" w:rsidRPr="000E2FF0">
        <w:t>of</w:t>
      </w:r>
      <w:r w:rsidRPr="000E2FF0">
        <w:t xml:space="preserve"> </w:t>
      </w:r>
      <w:r w:rsidR="00132DF8" w:rsidRPr="000E2FF0">
        <w:t>November</w:t>
      </w:r>
      <w:r w:rsidRPr="000E2FF0">
        <w:t xml:space="preserve"> 2017.</w:t>
      </w:r>
    </w:p>
  </w:footnote>
  <w:footnote w:id="2">
    <w:p w14:paraId="14884803" w14:textId="7BB767CD" w:rsidR="004171F1" w:rsidRPr="007250EB" w:rsidRDefault="004171F1" w:rsidP="004171F1">
      <w:pPr>
        <w:pStyle w:val="Notedebasdepage"/>
        <w:rPr>
          <w:lang w:val="fr-FR"/>
        </w:rPr>
      </w:pPr>
      <w:r w:rsidRPr="000E2FF0">
        <w:rPr>
          <w:rStyle w:val="Appelnotedebasdep"/>
        </w:rPr>
        <w:footnoteRef/>
      </w:r>
      <w:r w:rsidRPr="007250EB">
        <w:rPr>
          <w:lang w:val="fr-FR"/>
        </w:rPr>
        <w:t xml:space="preserve"> </w:t>
      </w:r>
      <w:r w:rsidR="00132DF8" w:rsidRPr="007250EB">
        <w:rPr>
          <w:lang w:val="fr-FR"/>
        </w:rPr>
        <w:t>“</w:t>
      </w:r>
      <w:r w:rsidRPr="007250EB">
        <w:rPr>
          <w:i/>
          <w:iCs/>
          <w:lang w:val="fr-FR"/>
        </w:rPr>
        <w:t>Erasmus Pro</w:t>
      </w:r>
      <w:r w:rsidR="006E32C3" w:rsidRPr="007250EB">
        <w:rPr>
          <w:i/>
          <w:iCs/>
          <w:lang w:val="fr-FR"/>
        </w:rPr>
        <w:t>:</w:t>
      </w:r>
      <w:r w:rsidRPr="007250EB">
        <w:rPr>
          <w:i/>
          <w:iCs/>
          <w:lang w:val="fr-FR"/>
        </w:rPr>
        <w:t xml:space="preserve"> lever les freins à la mobilité des apprentis en Europe</w:t>
      </w:r>
      <w:r w:rsidR="00132DF8" w:rsidRPr="007250EB">
        <w:rPr>
          <w:lang w:val="fr-FR"/>
        </w:rPr>
        <w:t>”</w:t>
      </w:r>
      <w:r w:rsidRPr="007250EB">
        <w:rPr>
          <w:lang w:val="fr-FR"/>
        </w:rPr>
        <w:t xml:space="preserve">, </w:t>
      </w:r>
      <w:r w:rsidR="00132DF8" w:rsidRPr="007250EB">
        <w:rPr>
          <w:lang w:val="fr-FR"/>
        </w:rPr>
        <w:t>report of</w:t>
      </w:r>
      <w:r w:rsidRPr="007250EB">
        <w:rPr>
          <w:lang w:val="fr-FR"/>
        </w:rPr>
        <w:t xml:space="preserve"> Jean ARTHUIS, </w:t>
      </w:r>
      <w:r w:rsidR="008A57E4" w:rsidRPr="007250EB">
        <w:rPr>
          <w:lang w:val="fr-FR"/>
        </w:rPr>
        <w:t>MEP,</w:t>
      </w:r>
      <w:r w:rsidR="00132DF8" w:rsidRPr="007250EB">
        <w:rPr>
          <w:lang w:val="fr-FR"/>
        </w:rPr>
        <w:t xml:space="preserve"> to</w:t>
      </w:r>
      <w:r w:rsidRPr="007250EB">
        <w:rPr>
          <w:lang w:val="fr-FR"/>
        </w:rPr>
        <w:t xml:space="preserve"> Muriel PENICAUD, </w:t>
      </w:r>
      <w:r w:rsidR="00132DF8" w:rsidRPr="007250EB">
        <w:rPr>
          <w:lang w:val="fr-FR"/>
        </w:rPr>
        <w:t>Minister of Work</w:t>
      </w:r>
      <w:r w:rsidRPr="007250EB">
        <w:rPr>
          <w:lang w:val="fr-FR"/>
        </w:rPr>
        <w:t>.</w:t>
      </w:r>
    </w:p>
  </w:footnote>
  <w:footnote w:id="3">
    <w:p w14:paraId="4B3F4A98" w14:textId="693699F4" w:rsidR="004171F1" w:rsidRPr="000E2FF0" w:rsidRDefault="004171F1" w:rsidP="004171F1">
      <w:pPr>
        <w:pStyle w:val="Notedebasdepage"/>
      </w:pPr>
      <w:r w:rsidRPr="000E2FF0">
        <w:rPr>
          <w:rStyle w:val="Appelnotedebasdep"/>
        </w:rPr>
        <w:footnoteRef/>
      </w:r>
      <w:r w:rsidRPr="000E2FF0">
        <w:t xml:space="preserve"> European </w:t>
      </w:r>
      <w:r w:rsidR="00EC712E" w:rsidRPr="000E2FF0">
        <w:t>B</w:t>
      </w:r>
      <w:r w:rsidRPr="000E2FF0">
        <w:t xml:space="preserve">arometer, 2186 / FL466, </w:t>
      </w:r>
      <w:r w:rsidR="00132DF8" w:rsidRPr="000E2FF0">
        <w:t>May</w:t>
      </w:r>
      <w:r w:rsidRPr="000E2FF0">
        <w:t xml:space="preserve"> 2018,</w:t>
      </w:r>
    </w:p>
  </w:footnote>
  <w:footnote w:id="4">
    <w:p w14:paraId="561D8933" w14:textId="7B97912E" w:rsidR="004171F1" w:rsidRPr="000E2FF0" w:rsidRDefault="004171F1" w:rsidP="004171F1">
      <w:pPr>
        <w:pStyle w:val="Notedebasdepage"/>
      </w:pPr>
      <w:r w:rsidRPr="000E2FF0">
        <w:rPr>
          <w:rStyle w:val="Appelnotedebasdep"/>
        </w:rPr>
        <w:footnoteRef/>
      </w:r>
      <w:r w:rsidRPr="000E2FF0">
        <w:t xml:space="preserve"> </w:t>
      </w:r>
      <w:r w:rsidR="00132DF8" w:rsidRPr="000E2FF0">
        <w:t xml:space="preserve">A study of the Erasmus agency </w:t>
      </w:r>
      <w:r w:rsidR="00EC712E" w:rsidRPr="000E2FF0">
        <w:t xml:space="preserve">watchdog </w:t>
      </w:r>
      <w:r w:rsidR="00132DF8" w:rsidRPr="000E2FF0">
        <w:t>shows a threefold effect of mobility</w:t>
      </w:r>
      <w:r w:rsidR="00EC712E" w:rsidRPr="000E2FF0">
        <w:t xml:space="preserve"> assignments</w:t>
      </w:r>
      <w:r w:rsidR="00132DF8" w:rsidRPr="000E2FF0">
        <w:t xml:space="preserve">: 56% of learners </w:t>
      </w:r>
      <w:r w:rsidR="00EC712E" w:rsidRPr="000E2FF0">
        <w:t>notice</w:t>
      </w:r>
      <w:r w:rsidR="00132DF8" w:rsidRPr="000E2FF0">
        <w:t xml:space="preserve"> </w:t>
      </w:r>
      <w:r w:rsidR="00EC712E" w:rsidRPr="000E2FF0">
        <w:t xml:space="preserve">a strong improvement in their cross-disciplinary skills </w:t>
      </w:r>
      <w:r w:rsidR="00132DF8" w:rsidRPr="000E2FF0">
        <w:t>at the end of a mobility</w:t>
      </w:r>
      <w:r w:rsidR="00EC712E" w:rsidRPr="000E2FF0">
        <w:t xml:space="preserve"> assignment</w:t>
      </w:r>
      <w:r w:rsidR="00132DF8" w:rsidRPr="000E2FF0">
        <w:t xml:space="preserve">, even </w:t>
      </w:r>
      <w:r w:rsidR="00EC712E" w:rsidRPr="000E2FF0">
        <w:t xml:space="preserve">if </w:t>
      </w:r>
      <w:r w:rsidR="00132DF8" w:rsidRPr="000E2FF0">
        <w:t>short</w:t>
      </w:r>
      <w:r w:rsidR="00EC712E" w:rsidRPr="000E2FF0">
        <w:t xml:space="preserve"> -</w:t>
      </w:r>
      <w:r w:rsidR="00132DF8" w:rsidRPr="000E2FF0">
        <w:t xml:space="preserve"> and 89% a </w:t>
      </w:r>
      <w:r w:rsidR="00EC712E" w:rsidRPr="000E2FF0">
        <w:t xml:space="preserve">strong or medium or slight </w:t>
      </w:r>
      <w:r w:rsidR="00132DF8" w:rsidRPr="000E2FF0">
        <w:t xml:space="preserve">improvement  -, 70% continue to </w:t>
      </w:r>
      <w:r w:rsidR="00EC712E" w:rsidRPr="000E2FF0">
        <w:t xml:space="preserve">informally </w:t>
      </w:r>
      <w:r w:rsidR="00132DF8" w:rsidRPr="000E2FF0">
        <w:t>practise the language used during their mobility</w:t>
      </w:r>
      <w:r w:rsidR="00EC712E" w:rsidRPr="000E2FF0">
        <w:t xml:space="preserve"> assignment once a week</w:t>
      </w:r>
      <w:r w:rsidR="00132DF8" w:rsidRPr="000E2FF0">
        <w:t>, and 77% declare one and a half years after their mobility</w:t>
      </w:r>
      <w:r w:rsidR="00EC712E" w:rsidRPr="000E2FF0">
        <w:t xml:space="preserve"> assignment</w:t>
      </w:r>
      <w:r w:rsidR="00132DF8" w:rsidRPr="000E2FF0">
        <w:t xml:space="preserve"> that they feel more of a “European citizen”, 9 points more than on return from their mobility</w:t>
      </w:r>
      <w:r w:rsidR="00EC712E" w:rsidRPr="000E2FF0">
        <w:t xml:space="preserve"> assignment</w:t>
      </w:r>
      <w:r w:rsidRPr="000E2F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5D84" w14:textId="77777777" w:rsidR="004171F1" w:rsidRPr="006E32C3" w:rsidRDefault="004171F1" w:rsidP="00B17F61">
    <w:pPr>
      <w:pBdr>
        <w:bottom w:val="single" w:sz="4" w:space="1" w:color="0000FF"/>
      </w:pBdr>
      <w:tabs>
        <w:tab w:val="right" w:pos="9356"/>
      </w:tabs>
      <w:ind w:right="-2"/>
      <w:rPr>
        <w:caps/>
        <w:color w:val="0000FF"/>
      </w:rPr>
    </w:pPr>
    <w:r w:rsidRPr="006E32C3">
      <w:rPr>
        <w:rStyle w:val="Numrodepage"/>
        <w:rFonts w:eastAsiaTheme="majorEastAsia"/>
        <w:color w:val="0000FF"/>
      </w:rPr>
      <w:fldChar w:fldCharType="begin"/>
    </w:r>
    <w:r w:rsidRPr="006E32C3">
      <w:rPr>
        <w:rStyle w:val="Numrodepage"/>
        <w:rFonts w:eastAsiaTheme="majorEastAsia"/>
        <w:color w:val="0000FF"/>
      </w:rPr>
      <w:instrText xml:space="preserve"> PAGE   \* MERGEFORMAT </w:instrText>
    </w:r>
    <w:r w:rsidRPr="006E32C3">
      <w:rPr>
        <w:rStyle w:val="Numrodepage"/>
        <w:rFonts w:eastAsiaTheme="majorEastAsia"/>
        <w:color w:val="0000FF"/>
      </w:rPr>
      <w:fldChar w:fldCharType="separate"/>
    </w:r>
    <w:r w:rsidRPr="006E32C3">
      <w:rPr>
        <w:rStyle w:val="Numrodepage"/>
        <w:rFonts w:eastAsiaTheme="majorEastAsia"/>
        <w:color w:val="0000FF"/>
      </w:rPr>
      <w:t>18</w:t>
    </w:r>
    <w:r w:rsidRPr="006E32C3">
      <w:rPr>
        <w:rStyle w:val="Numrodepage"/>
        <w:rFonts w:eastAsiaTheme="majorEastAsia"/>
        <w:color w:val="0000FF"/>
      </w:rPr>
      <w:fldChar w:fldCharType="end"/>
    </w:r>
    <w:r w:rsidRPr="006E32C3">
      <w:rPr>
        <w:rStyle w:val="Numrodepage"/>
        <w:rFonts w:eastAsiaTheme="majorEastAsia"/>
        <w:color w:val="0000FF"/>
      </w:rPr>
      <w:tab/>
    </w:r>
    <w:r w:rsidRPr="006E32C3">
      <w:fldChar w:fldCharType="begin"/>
    </w:r>
    <w:r w:rsidRPr="006E32C3">
      <w:instrText xml:space="preserve"> DOCPROPERTY  Company  \* MERGEFORMAT </w:instrText>
    </w:r>
    <w:r w:rsidRPr="006E32C3">
      <w:fldChar w:fldCharType="end"/>
    </w:r>
    <w:r w:rsidRPr="006E32C3">
      <w:rPr>
        <w:caps/>
        <w:color w:val="0000FF"/>
      </w:rPr>
      <w:t>, rapport n°</w:t>
    </w:r>
    <w:r w:rsidRPr="006E32C3">
      <w:fldChar w:fldCharType="begin"/>
    </w:r>
    <w:r w:rsidRPr="006E32C3">
      <w:instrText xml:space="preserve"> SUBJECT   \* MERGEFORMAT </w:instrText>
    </w:r>
    <w:r w:rsidRPr="006E32C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3385" w14:textId="18689AD1" w:rsidR="004171F1" w:rsidRPr="006E32C3" w:rsidRDefault="004171F1" w:rsidP="00274CC9">
    <w:pPr>
      <w:jc w:val="center"/>
      <w:rPr>
        <w:caps/>
        <w:color w:val="0000FF"/>
        <w:sz w:val="20"/>
        <w:szCs w:val="20"/>
      </w:rPr>
    </w:pPr>
    <w:r w:rsidRPr="006E32C3">
      <w:rPr>
        <w:caps/>
        <w:color w:val="0000FF"/>
        <w:sz w:val="20"/>
        <w:szCs w:val="20"/>
      </w:rPr>
      <w:t xml:space="preserve">IGAS </w:t>
    </w:r>
    <w:r w:rsidR="006E32C3">
      <w:rPr>
        <w:caps/>
        <w:color w:val="0000FF"/>
        <w:sz w:val="20"/>
        <w:szCs w:val="20"/>
      </w:rPr>
      <w:t xml:space="preserve">REPORT no. </w:t>
    </w:r>
    <w:r w:rsidRPr="006E32C3">
      <w:rPr>
        <w:caps/>
        <w:color w:val="0000FF"/>
        <w:sz w:val="20"/>
        <w:szCs w:val="20"/>
      </w:rPr>
      <w:t>2022-042R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A10" w14:textId="77777777" w:rsidR="004171F1" w:rsidRPr="006E32C3" w:rsidRDefault="004171F1" w:rsidP="00630274">
    <w:pPr>
      <w:spacing w:after="240"/>
      <w:jc w:val="center"/>
    </w:pPr>
    <w:r w:rsidRPr="006E32C3">
      <w:rPr>
        <w:rFonts w:ascii="courierps" w:hAnsi="courierps"/>
        <w:b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60F62E03" wp14:editId="2EF09FB2">
          <wp:simplePos x="0" y="0"/>
          <wp:positionH relativeFrom="margin">
            <wp:posOffset>-1041157</wp:posOffset>
          </wp:positionH>
          <wp:positionV relativeFrom="paragraph">
            <wp:posOffset>-492518</wp:posOffset>
          </wp:positionV>
          <wp:extent cx="7657877" cy="10832191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 rapport habituels igas rapporteur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877" cy="10832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2AB5D" w14:textId="77777777" w:rsidR="004171F1" w:rsidRPr="006E32C3" w:rsidRDefault="004171F1" w:rsidP="00562130">
    <w:pPr>
      <w:jc w:val="center"/>
      <w:rPr>
        <w:rFonts w:ascii="Garamond" w:hAnsi="Garamond"/>
        <w:color w:val="0000FF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2154" w14:textId="77777777" w:rsidR="004171F1" w:rsidRPr="006E32C3" w:rsidRDefault="004171F1" w:rsidP="00274CC9">
    <w:pPr>
      <w:jc w:val="center"/>
      <w:rPr>
        <w:caps/>
        <w:color w:val="0000FF"/>
        <w:sz w:val="20"/>
        <w:szCs w:val="20"/>
      </w:rPr>
    </w:pPr>
    <w:r w:rsidRPr="006E32C3">
      <w:rPr>
        <w:caps/>
        <w:color w:val="0000FF"/>
        <w:sz w:val="20"/>
        <w:szCs w:val="20"/>
      </w:rPr>
      <w:t>RAPPORT IGAS n°2022-042R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6CC"/>
    <w:multiLevelType w:val="multilevel"/>
    <w:tmpl w:val="BECC3714"/>
    <w:lvl w:ilvl="0">
      <w:start w:val="1"/>
      <w:numFmt w:val="none"/>
      <w:pStyle w:val="Source"/>
      <w:lvlText w:val="%1Source :"/>
      <w:lvlJc w:val="left"/>
      <w:pPr>
        <w:tabs>
          <w:tab w:val="num" w:pos="851"/>
        </w:tabs>
        <w:ind w:left="0" w:firstLine="0"/>
      </w:pPr>
      <w:rPr>
        <w:rFonts w:ascii="Cambria" w:hAnsi="Cambria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B15F7C"/>
    <w:multiLevelType w:val="multilevel"/>
    <w:tmpl w:val="85DA842A"/>
    <w:lvl w:ilvl="0">
      <w:start w:val="1"/>
      <w:numFmt w:val="decimal"/>
      <w:pStyle w:val="TTableau"/>
      <w:lvlText w:val="Tableau %1 :"/>
      <w:lvlJc w:val="left"/>
      <w:pPr>
        <w:tabs>
          <w:tab w:val="num" w:pos="35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FD1298"/>
    <w:multiLevelType w:val="multilevel"/>
    <w:tmpl w:val="BB2E7A1C"/>
    <w:name w:val="cdt2"/>
    <w:lvl w:ilvl="0">
      <w:start w:val="1"/>
      <w:numFmt w:val="bullet"/>
      <w:pStyle w:val="x-Puc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6FF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xx-puce2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color w:val="0000FF"/>
        <w:sz w:val="24"/>
        <w:szCs w:val="24"/>
      </w:rPr>
    </w:lvl>
    <w:lvl w:ilvl="2">
      <w:start w:val="1"/>
      <w:numFmt w:val="bullet"/>
      <w:pStyle w:val="xxx-Puce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00FF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20751853">
    <w:abstractNumId w:val="2"/>
  </w:num>
  <w:num w:numId="2" w16cid:durableId="1223054329">
    <w:abstractNumId w:val="0"/>
  </w:num>
  <w:num w:numId="3" w16cid:durableId="101634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1"/>
    <w:rsid w:val="00010884"/>
    <w:rsid w:val="000B7DBD"/>
    <w:rsid w:val="000E2FF0"/>
    <w:rsid w:val="00132DF8"/>
    <w:rsid w:val="001352A1"/>
    <w:rsid w:val="00171627"/>
    <w:rsid w:val="0019324B"/>
    <w:rsid w:val="001A1183"/>
    <w:rsid w:val="001A2D63"/>
    <w:rsid w:val="002E3E9B"/>
    <w:rsid w:val="00356DB3"/>
    <w:rsid w:val="00405AD4"/>
    <w:rsid w:val="004171F1"/>
    <w:rsid w:val="00442C4F"/>
    <w:rsid w:val="00443B48"/>
    <w:rsid w:val="00535DE5"/>
    <w:rsid w:val="00546961"/>
    <w:rsid w:val="005C3EE0"/>
    <w:rsid w:val="006508CE"/>
    <w:rsid w:val="00681BF6"/>
    <w:rsid w:val="006D2729"/>
    <w:rsid w:val="006E32C3"/>
    <w:rsid w:val="007250EB"/>
    <w:rsid w:val="0073744D"/>
    <w:rsid w:val="00761865"/>
    <w:rsid w:val="0080602D"/>
    <w:rsid w:val="008234BC"/>
    <w:rsid w:val="00860F2A"/>
    <w:rsid w:val="00892E1B"/>
    <w:rsid w:val="008A57E4"/>
    <w:rsid w:val="008F250E"/>
    <w:rsid w:val="00981A09"/>
    <w:rsid w:val="009B5D6A"/>
    <w:rsid w:val="00A65438"/>
    <w:rsid w:val="00A74B49"/>
    <w:rsid w:val="00AE200C"/>
    <w:rsid w:val="00C251DF"/>
    <w:rsid w:val="00C7268A"/>
    <w:rsid w:val="00D71B9E"/>
    <w:rsid w:val="00EC712E"/>
    <w:rsid w:val="00F25706"/>
    <w:rsid w:val="00F41AA2"/>
    <w:rsid w:val="00F76352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1D0F2"/>
  <w15:chartTrackingRefBased/>
  <w15:docId w15:val="{C878E4A5-99D7-4B7E-9A7D-3B6DC0E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32C3"/>
    <w:pPr>
      <w:spacing w:before="120" w:after="120"/>
      <w:jc w:val="both"/>
    </w:pPr>
    <w:rPr>
      <w:rFonts w:ascii="Cambria" w:hAnsi="Cambria"/>
      <w:kern w:val="0"/>
      <w:lang w:val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detexte"/>
    <w:link w:val="TitreCar"/>
    <w:uiPriority w:val="1"/>
    <w:qFormat/>
    <w:rsid w:val="004171F1"/>
    <w:pPr>
      <w:keepLines/>
      <w:spacing w:before="360" w:after="480" w:line="276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color w:val="3333FF"/>
      <w:spacing w:val="5"/>
      <w:kern w:val="28"/>
      <w:sz w:val="48"/>
      <w:szCs w:val="44"/>
      <w:lang w:val="en-US"/>
      <w14:ligatures w14:val="none"/>
    </w:rPr>
  </w:style>
  <w:style w:type="character" w:customStyle="1" w:styleId="TitreCar">
    <w:name w:val="Titre Car"/>
    <w:basedOn w:val="Policepardfaut"/>
    <w:link w:val="Titre"/>
    <w:uiPriority w:val="1"/>
    <w:rsid w:val="004171F1"/>
    <w:rPr>
      <w:rFonts w:ascii="Calibri" w:eastAsiaTheme="majorEastAsia" w:hAnsi="Calibri" w:cstheme="majorBidi"/>
      <w:b/>
      <w:caps/>
      <w:color w:val="3333FF"/>
      <w:spacing w:val="5"/>
      <w:kern w:val="28"/>
      <w:sz w:val="48"/>
      <w:szCs w:val="44"/>
      <w:lang w:val="en-US"/>
      <w14:ligatures w14:val="none"/>
    </w:rPr>
  </w:style>
  <w:style w:type="character" w:styleId="Numrodepage">
    <w:name w:val="page number"/>
    <w:basedOn w:val="Policepardfaut"/>
    <w:semiHidden/>
    <w:rsid w:val="004171F1"/>
  </w:style>
  <w:style w:type="paragraph" w:styleId="Notedebasdepage">
    <w:name w:val="footnote text"/>
    <w:basedOn w:val="Normal"/>
    <w:link w:val="NotedebasdepageCar"/>
    <w:uiPriority w:val="99"/>
    <w:rsid w:val="004171F1"/>
    <w:pPr>
      <w:spacing w:before="0" w:after="0" w:line="240" w:lineRule="auto"/>
      <w:contextualSpacing/>
    </w:pPr>
    <w:rPr>
      <w:rFonts w:eastAsia="Times New Roman" w:cs="Times New Roman"/>
      <w:color w:val="808080" w:themeColor="background1" w:themeShade="80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71F1"/>
    <w:rPr>
      <w:rFonts w:ascii="Cambria" w:eastAsia="Times New Roman" w:hAnsi="Cambria" w:cs="Times New Roman"/>
      <w:color w:val="808080" w:themeColor="background1" w:themeShade="80"/>
      <w:kern w:val="0"/>
      <w:sz w:val="18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rsid w:val="004171F1"/>
    <w:rPr>
      <w:vertAlign w:val="superscript"/>
    </w:rPr>
  </w:style>
  <w:style w:type="paragraph" w:customStyle="1" w:styleId="Source">
    <w:name w:val="Source"/>
    <w:next w:val="Corpsdetexte"/>
    <w:link w:val="SourceCar"/>
    <w:uiPriority w:val="10"/>
    <w:qFormat/>
    <w:rsid w:val="004171F1"/>
    <w:pPr>
      <w:keepLines/>
      <w:numPr>
        <w:numId w:val="2"/>
      </w:numPr>
      <w:suppressAutoHyphens/>
      <w:spacing w:before="120" w:after="300" w:line="240" w:lineRule="auto"/>
    </w:pPr>
    <w:rPr>
      <w:rFonts w:ascii="Cambria" w:eastAsia="Times New Roman" w:hAnsi="Cambria" w:cs="Times New Roman"/>
      <w:i/>
      <w:iCs/>
      <w:kern w:val="0"/>
      <w:sz w:val="20"/>
      <w:szCs w:val="20"/>
      <w:lang w:eastAsia="fr-FR"/>
      <w14:ligatures w14:val="none"/>
    </w:rPr>
  </w:style>
  <w:style w:type="paragraph" w:customStyle="1" w:styleId="TTableau">
    <w:name w:val="TTableau"/>
    <w:next w:val="Normal"/>
    <w:uiPriority w:val="6"/>
    <w:qFormat/>
    <w:rsid w:val="004171F1"/>
    <w:pPr>
      <w:keepNext/>
      <w:numPr>
        <w:numId w:val="3"/>
      </w:numPr>
      <w:spacing w:before="240" w:after="180" w:line="240" w:lineRule="auto"/>
      <w:jc w:val="center"/>
    </w:pPr>
    <w:rPr>
      <w:rFonts w:ascii="Calibri" w:hAnsi="Calibri"/>
      <w:color w:val="0000FF"/>
      <w:kern w:val="0"/>
      <w14:ligatures w14:val="none"/>
    </w:rPr>
  </w:style>
  <w:style w:type="character" w:customStyle="1" w:styleId="SourceCar">
    <w:name w:val="Source Car"/>
    <w:basedOn w:val="Policepardfaut"/>
    <w:link w:val="Source"/>
    <w:uiPriority w:val="10"/>
    <w:rsid w:val="004171F1"/>
    <w:rPr>
      <w:rFonts w:ascii="Cambria" w:eastAsia="Times New Roman" w:hAnsi="Cambria" w:cs="Times New Roman"/>
      <w:i/>
      <w:iCs/>
      <w:kern w:val="0"/>
      <w:sz w:val="20"/>
      <w:szCs w:val="20"/>
      <w:lang w:eastAsia="fr-FR"/>
      <w14:ligatures w14:val="none"/>
    </w:rPr>
  </w:style>
  <w:style w:type="paragraph" w:customStyle="1" w:styleId="x-Puce1">
    <w:name w:val="x-Puce1"/>
    <w:basedOn w:val="Corpsdetexte"/>
    <w:uiPriority w:val="5"/>
    <w:qFormat/>
    <w:rsid w:val="004171F1"/>
    <w:pPr>
      <w:numPr>
        <w:numId w:val="1"/>
      </w:numPr>
      <w:tabs>
        <w:tab w:val="clear" w:pos="567"/>
        <w:tab w:val="num" w:pos="360"/>
      </w:tabs>
      <w:spacing w:before="60" w:after="60"/>
      <w:ind w:left="0" w:firstLine="0"/>
    </w:pPr>
  </w:style>
  <w:style w:type="paragraph" w:customStyle="1" w:styleId="xx-puce2">
    <w:name w:val="xx-puce2"/>
    <w:uiPriority w:val="5"/>
    <w:qFormat/>
    <w:rsid w:val="004171F1"/>
    <w:pPr>
      <w:keepLines/>
      <w:numPr>
        <w:ilvl w:val="1"/>
        <w:numId w:val="1"/>
      </w:numPr>
      <w:spacing w:before="120" w:after="120" w:line="240" w:lineRule="auto"/>
      <w:jc w:val="both"/>
    </w:pPr>
    <w:rPr>
      <w:rFonts w:ascii="Cambria" w:eastAsia="Times New Roman" w:hAnsi="Cambria" w:cs="Times New Roman"/>
      <w:kern w:val="0"/>
      <w:lang w:eastAsia="fr-FR"/>
      <w14:ligatures w14:val="none"/>
    </w:rPr>
  </w:style>
  <w:style w:type="paragraph" w:customStyle="1" w:styleId="xxx-Puce3">
    <w:name w:val="xxx-Puce3"/>
    <w:uiPriority w:val="5"/>
    <w:qFormat/>
    <w:rsid w:val="004171F1"/>
    <w:pPr>
      <w:keepLines/>
      <w:numPr>
        <w:ilvl w:val="2"/>
        <w:numId w:val="1"/>
      </w:numPr>
      <w:spacing w:before="120" w:after="120" w:line="240" w:lineRule="auto"/>
      <w:jc w:val="both"/>
    </w:pPr>
    <w:rPr>
      <w:rFonts w:ascii="Cambria" w:eastAsia="Times New Roman" w:hAnsi="Cambria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17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F1"/>
    <w:rPr>
      <w:rFonts w:ascii="Cambria" w:hAnsi="Cambria"/>
      <w:kern w:val="0"/>
      <w14:ligatures w14:val="none"/>
    </w:rPr>
  </w:style>
  <w:style w:type="table" w:styleId="Grilledutableau">
    <w:name w:val="Table Grid"/>
    <w:basedOn w:val="TableauNormal"/>
    <w:uiPriority w:val="59"/>
    <w:rsid w:val="004171F1"/>
    <w:pPr>
      <w:spacing w:after="0" w:line="240" w:lineRule="auto"/>
    </w:pPr>
    <w:rPr>
      <w:rFonts w:ascii="Cambria" w:hAnsi="Cambr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4171F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71F1"/>
    <w:rPr>
      <w:rFonts w:ascii="Cambria" w:hAnsi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BAUDENA, Valentin (IGAS/COMMUNICATION)</dc:creator>
  <cp:keywords/>
  <dc:description/>
  <cp:lastModifiedBy>BAUDENA, Valentin (IGAS/COMMUNICATION)</cp:lastModifiedBy>
  <cp:revision>2</cp:revision>
  <dcterms:created xsi:type="dcterms:W3CDTF">2024-06-19T07:15:00Z</dcterms:created>
  <dcterms:modified xsi:type="dcterms:W3CDTF">2024-06-19T07:15:00Z</dcterms:modified>
</cp:coreProperties>
</file>